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FFEB" w14:textId="77777777" w:rsidR="00537000" w:rsidRPr="00004022" w:rsidRDefault="00537000" w:rsidP="00537000">
      <w:pPr>
        <w:pStyle w:val="Heading2"/>
        <w:numPr>
          <w:ilvl w:val="0"/>
          <w:numId w:val="1"/>
        </w:numPr>
        <w:ind w:left="0" w:firstLine="0"/>
      </w:pPr>
      <w:bookmarkStart w:id="0" w:name="_Toc433826855"/>
      <w:bookmarkStart w:id="1" w:name="_Toc161911968"/>
      <w:bookmarkStart w:id="2" w:name="_Toc230556010"/>
      <w:r w:rsidRPr="00004022">
        <w:t>Cadre méthodologique</w:t>
      </w:r>
      <w:bookmarkEnd w:id="0"/>
      <w:bookmarkEnd w:id="1"/>
      <w:bookmarkEnd w:id="2"/>
      <w:r w:rsidRPr="00004022">
        <w:t> </w:t>
      </w:r>
    </w:p>
    <w:p w14:paraId="3134B0C4" w14:textId="77777777" w:rsidR="00537000" w:rsidRPr="00660C2E" w:rsidRDefault="00537000" w:rsidP="00537000">
      <w:pPr>
        <w:pStyle w:val="Newniveau3"/>
      </w:pPr>
      <w:bookmarkStart w:id="3" w:name="_Toc161911969"/>
      <w:bookmarkStart w:id="4" w:name="_Toc230556011"/>
      <w:r w:rsidRPr="008019EC">
        <w:t>Cartographie</w:t>
      </w:r>
      <w:r w:rsidRPr="00F318A1">
        <w:t xml:space="preserve"> des établissements hospitaliers</w:t>
      </w:r>
      <w:bookmarkStart w:id="5" w:name="_Toc433826856"/>
      <w:bookmarkEnd w:id="3"/>
      <w:bookmarkEnd w:id="4"/>
    </w:p>
    <w:p w14:paraId="4D6E133D" w14:textId="77777777" w:rsidR="00537000" w:rsidRPr="00004022" w:rsidRDefault="00537000" w:rsidP="00537000">
      <w:pPr>
        <w:rPr>
          <w:b/>
          <w:u w:val="single"/>
          <w:lang w:val="fr-FR"/>
        </w:rPr>
      </w:pPr>
      <w:r w:rsidRPr="00004022">
        <w:rPr>
          <w:b/>
          <w:u w:val="single"/>
          <w:lang w:val="fr-FR"/>
        </w:rPr>
        <w:t xml:space="preserve">Sources des données </w:t>
      </w:r>
    </w:p>
    <w:p w14:paraId="12E4E24E" w14:textId="77777777" w:rsidR="00537000" w:rsidRPr="00004022" w:rsidRDefault="00537000" w:rsidP="00537000">
      <w:pPr>
        <w:pStyle w:val="ListParagraph"/>
        <w:ind w:left="360"/>
        <w:rPr>
          <w:b/>
          <w:u w:val="single"/>
          <w:lang w:val="fr-FR"/>
        </w:rPr>
      </w:pPr>
    </w:p>
    <w:p w14:paraId="71CA8753" w14:textId="77777777" w:rsidR="00537000" w:rsidRPr="00004022" w:rsidRDefault="00537000" w:rsidP="00537000">
      <w:pPr>
        <w:pStyle w:val="ListParagraph"/>
        <w:numPr>
          <w:ilvl w:val="0"/>
          <w:numId w:val="59"/>
        </w:numPr>
        <w:ind w:left="426" w:hanging="284"/>
        <w:jc w:val="both"/>
        <w:rPr>
          <w:rFonts w:cstheme="minorHAnsi"/>
          <w:sz w:val="24"/>
          <w:szCs w:val="20"/>
          <w:lang w:val="fr-FR"/>
        </w:rPr>
      </w:pPr>
      <w:r w:rsidRPr="00004022">
        <w:rPr>
          <w:rFonts w:cstheme="minorHAnsi"/>
          <w:b/>
          <w:szCs w:val="20"/>
          <w:lang w:val="fr-FR"/>
        </w:rPr>
        <w:t>Services hospitaliers, capacités d’accueil, équipements</w:t>
      </w:r>
      <w:r>
        <w:rPr>
          <w:rFonts w:cstheme="minorHAnsi"/>
          <w:b/>
          <w:szCs w:val="20"/>
          <w:lang w:val="fr-FR"/>
        </w:rPr>
        <w:t xml:space="preserve"> </w:t>
      </w:r>
      <w:r w:rsidRPr="00004022">
        <w:rPr>
          <w:rFonts w:cstheme="minorHAnsi"/>
          <w:b/>
          <w:szCs w:val="20"/>
          <w:lang w:val="fr-FR"/>
        </w:rPr>
        <w:t xml:space="preserve">: </w:t>
      </w:r>
      <w:bookmarkStart w:id="6" w:name="_Hlk163139289"/>
      <w:r>
        <w:rPr>
          <w:rFonts w:cstheme="minorHAnsi"/>
          <w:bCs/>
          <w:szCs w:val="20"/>
          <w:lang w:val="fr-FR"/>
        </w:rPr>
        <w:t xml:space="preserve">le ministère de la Santé et de la Sécurité sociale a mis à disposition de l’ObSanté les informations utiles transmises par </w:t>
      </w:r>
      <w:r>
        <w:rPr>
          <w:rFonts w:cstheme="minorHAnsi"/>
          <w:szCs w:val="20"/>
          <w:lang w:val="fr-FR"/>
        </w:rPr>
        <w:t>les</w:t>
      </w:r>
      <w:r w:rsidRPr="00004022">
        <w:rPr>
          <w:rFonts w:cstheme="minorHAnsi"/>
          <w:szCs w:val="20"/>
          <w:lang w:val="fr-FR"/>
        </w:rPr>
        <w:t xml:space="preserve"> établissements hospitaliers dans le cadre du renouvellement quinquennal des autorisations d’exploitation des centres et services hospitaliers.</w:t>
      </w:r>
      <w:bookmarkEnd w:id="6"/>
    </w:p>
    <w:p w14:paraId="01B675D0" w14:textId="77777777" w:rsidR="00537000" w:rsidRPr="00004022" w:rsidRDefault="00537000" w:rsidP="00537000">
      <w:pPr>
        <w:pStyle w:val="ListParagraph"/>
        <w:numPr>
          <w:ilvl w:val="0"/>
          <w:numId w:val="59"/>
        </w:numPr>
        <w:ind w:left="426" w:hanging="284"/>
        <w:jc w:val="both"/>
        <w:rPr>
          <w:rFonts w:cstheme="minorHAnsi"/>
          <w:sz w:val="24"/>
          <w:szCs w:val="20"/>
          <w:lang w:val="fr-FR"/>
        </w:rPr>
      </w:pPr>
      <w:r w:rsidRPr="00004022">
        <w:rPr>
          <w:rFonts w:cstheme="minorHAnsi"/>
          <w:b/>
          <w:szCs w:val="20"/>
          <w:lang w:val="fr-FR"/>
        </w:rPr>
        <w:t>Données issues des autorisations d’exploitation des services hospitaliers</w:t>
      </w:r>
      <w:r w:rsidRPr="00262A09">
        <w:rPr>
          <w:rFonts w:cstheme="minorHAnsi"/>
          <w:b/>
          <w:szCs w:val="20"/>
          <w:lang w:val="fr-FR"/>
        </w:rPr>
        <w:t xml:space="preserve"> pour une durée du 1</w:t>
      </w:r>
      <w:r w:rsidRPr="00262A09">
        <w:rPr>
          <w:rFonts w:cstheme="minorHAnsi"/>
          <w:b/>
          <w:szCs w:val="20"/>
          <w:vertAlign w:val="superscript"/>
          <w:lang w:val="fr-FR"/>
        </w:rPr>
        <w:t>er</w:t>
      </w:r>
      <w:r w:rsidRPr="00262A09">
        <w:rPr>
          <w:rFonts w:cstheme="minorHAnsi"/>
          <w:b/>
          <w:szCs w:val="20"/>
          <w:lang w:val="fr-FR"/>
        </w:rPr>
        <w:t xml:space="preserve"> janvier 2024 au 31 décembre 2025 :</w:t>
      </w:r>
      <w:r w:rsidRPr="00262A09">
        <w:rPr>
          <w:rFonts w:cstheme="minorHAnsi"/>
          <w:bCs/>
          <w:szCs w:val="20"/>
          <w:lang w:val="fr-FR"/>
        </w:rPr>
        <w:t xml:space="preserve"> arrêtés ministériels d’autorisations d’exploitation des services hospitaliers en date du 27.12.2023 (hors exceptions : LNS le 22.05.2024 et actualisations postérieures : </w:t>
      </w:r>
      <w:proofErr w:type="spellStart"/>
      <w:r w:rsidRPr="00262A09">
        <w:rPr>
          <w:rFonts w:cstheme="minorHAnsi"/>
          <w:bCs/>
          <w:szCs w:val="20"/>
          <w:lang w:val="fr-FR"/>
        </w:rPr>
        <w:t>CHdN</w:t>
      </w:r>
      <w:proofErr w:type="spellEnd"/>
      <w:r w:rsidRPr="00262A09">
        <w:rPr>
          <w:rFonts w:cstheme="minorHAnsi"/>
          <w:bCs/>
          <w:szCs w:val="20"/>
          <w:lang w:val="fr-FR"/>
        </w:rPr>
        <w:t xml:space="preserve"> les 31.01.2024 et 15.02.2024, CHNP le 31.01.2024, CHL le 20.08.2025, HRS les 19.08.2024, 15.11.2024 et 20.08.2025)</w:t>
      </w:r>
    </w:p>
    <w:p w14:paraId="4FD26D60" w14:textId="77777777" w:rsidR="00537000" w:rsidRPr="009B27DF" w:rsidRDefault="00537000" w:rsidP="00537000">
      <w:pPr>
        <w:pStyle w:val="ListParagraph"/>
        <w:numPr>
          <w:ilvl w:val="0"/>
          <w:numId w:val="59"/>
        </w:numPr>
        <w:ind w:left="426" w:hanging="284"/>
        <w:jc w:val="both"/>
        <w:rPr>
          <w:rFonts w:cstheme="minorHAnsi"/>
          <w:szCs w:val="16"/>
          <w:lang w:val="fr-FR"/>
        </w:rPr>
      </w:pPr>
      <w:bookmarkStart w:id="7" w:name="_Hlk163141654"/>
      <w:r w:rsidRPr="0059375E">
        <w:rPr>
          <w:rFonts w:cstheme="minorHAnsi"/>
          <w:b/>
          <w:bCs/>
          <w:szCs w:val="16"/>
          <w:lang w:val="fr-FR"/>
        </w:rPr>
        <w:t xml:space="preserve">Données issues des prorogations d’autorisation d’exploitation pour </w:t>
      </w:r>
      <w:r w:rsidRPr="00262A09">
        <w:rPr>
          <w:rFonts w:cstheme="minorHAnsi"/>
          <w:b/>
          <w:bCs/>
          <w:szCs w:val="16"/>
          <w:lang w:val="fr-FR"/>
        </w:rPr>
        <w:t>une durée du 1</w:t>
      </w:r>
      <w:r w:rsidRPr="00262A09">
        <w:rPr>
          <w:rFonts w:cstheme="minorHAnsi"/>
          <w:b/>
          <w:bCs/>
          <w:szCs w:val="16"/>
          <w:vertAlign w:val="superscript"/>
          <w:lang w:val="fr-FR"/>
        </w:rPr>
        <w:t>er</w:t>
      </w:r>
      <w:r w:rsidRPr="00262A09">
        <w:rPr>
          <w:rFonts w:cstheme="minorHAnsi"/>
          <w:b/>
          <w:bCs/>
          <w:szCs w:val="16"/>
          <w:lang w:val="fr-FR"/>
        </w:rPr>
        <w:t xml:space="preserve"> janvier 2026 au 31 décembre 2030 : </w:t>
      </w:r>
      <w:r w:rsidRPr="00262A09">
        <w:rPr>
          <w:rFonts w:cstheme="minorHAnsi"/>
          <w:szCs w:val="16"/>
          <w:lang w:val="fr-FR"/>
        </w:rPr>
        <w:t xml:space="preserve">arrêtés ministériels d’autorisations d’exploitation des services hospitaliers en date du 23.12.2025 (hors exceptions : RHZ le 30.12.2025, CRCC le 30.12.2025, </w:t>
      </w:r>
      <w:proofErr w:type="spellStart"/>
      <w:r w:rsidRPr="00262A09">
        <w:rPr>
          <w:rFonts w:cstheme="minorHAnsi"/>
          <w:szCs w:val="16"/>
          <w:lang w:val="fr-FR"/>
        </w:rPr>
        <w:t>Haus</w:t>
      </w:r>
      <w:proofErr w:type="spellEnd"/>
      <w:r w:rsidRPr="00262A09">
        <w:rPr>
          <w:rFonts w:cstheme="minorHAnsi"/>
          <w:szCs w:val="16"/>
          <w:lang w:val="fr-FR"/>
        </w:rPr>
        <w:t xml:space="preserve"> OMEGA le 30.12.2025 et LNS pour une durée d’autorisation du 01.01.2026 au 31.12.2027)</w:t>
      </w:r>
      <w:bookmarkEnd w:id="7"/>
    </w:p>
    <w:p w14:paraId="56BADA49" w14:textId="77777777" w:rsidR="00537000" w:rsidRPr="00660C2E" w:rsidRDefault="00537000" w:rsidP="00537000">
      <w:pPr>
        <w:pStyle w:val="Newniveau3"/>
      </w:pPr>
      <w:bookmarkStart w:id="8" w:name="_Toc161911970"/>
      <w:bookmarkStart w:id="9" w:name="_Toc230556012"/>
      <w:r w:rsidRPr="00D7362E">
        <w:t>Activité d’hospitalisation</w:t>
      </w:r>
      <w:bookmarkEnd w:id="5"/>
      <w:bookmarkEnd w:id="8"/>
      <w:bookmarkEnd w:id="9"/>
    </w:p>
    <w:p w14:paraId="59550E44" w14:textId="77777777" w:rsidR="00537000" w:rsidRPr="00004022" w:rsidRDefault="00537000" w:rsidP="00537000">
      <w:pPr>
        <w:rPr>
          <w:b/>
          <w:u w:val="single"/>
          <w:lang w:val="fr-FR"/>
        </w:rPr>
      </w:pPr>
      <w:r w:rsidRPr="00004022">
        <w:rPr>
          <w:b/>
          <w:u w:val="single"/>
          <w:lang w:val="fr-FR"/>
        </w:rPr>
        <w:t xml:space="preserve">Sources des données </w:t>
      </w:r>
    </w:p>
    <w:p w14:paraId="2F112830" w14:textId="77777777" w:rsidR="00537000" w:rsidRPr="00004022" w:rsidRDefault="00537000" w:rsidP="00537000">
      <w:pPr>
        <w:pStyle w:val="ListParagraph"/>
        <w:ind w:left="360"/>
        <w:rPr>
          <w:b/>
          <w:u w:val="single"/>
          <w:lang w:val="fr-FR"/>
        </w:rPr>
      </w:pPr>
    </w:p>
    <w:p w14:paraId="403F78FA" w14:textId="77777777" w:rsidR="00537000" w:rsidRPr="00004022" w:rsidRDefault="00537000" w:rsidP="00537000">
      <w:pPr>
        <w:pStyle w:val="ListParagraph"/>
        <w:numPr>
          <w:ilvl w:val="1"/>
          <w:numId w:val="3"/>
        </w:numPr>
        <w:ind w:left="426" w:hanging="284"/>
        <w:jc w:val="both"/>
        <w:rPr>
          <w:b/>
          <w:strike/>
          <w:u w:val="single"/>
          <w:lang w:val="fr-FR"/>
        </w:rPr>
      </w:pPr>
      <w:r w:rsidRPr="00004022">
        <w:rPr>
          <w:rFonts w:cstheme="minorHAnsi"/>
          <w:b/>
          <w:szCs w:val="20"/>
          <w:lang w:val="fr-FR"/>
        </w:rPr>
        <w:t xml:space="preserve">Données d’hospitalisation, </w:t>
      </w:r>
      <w:r w:rsidRPr="00004022">
        <w:rPr>
          <w:rFonts w:cstheme="minorHAnsi"/>
          <w:szCs w:val="20"/>
          <w:lang w:val="fr-FR"/>
        </w:rPr>
        <w:t>hormis celles signalées spécifiquement</w:t>
      </w:r>
      <w:r>
        <w:rPr>
          <w:rFonts w:cstheme="minorHAnsi"/>
          <w:szCs w:val="20"/>
          <w:lang w:val="fr-FR"/>
        </w:rPr>
        <w:t xml:space="preserve"> </w:t>
      </w:r>
      <w:r w:rsidRPr="00004022">
        <w:rPr>
          <w:rFonts w:cstheme="minorHAnsi"/>
          <w:szCs w:val="20"/>
          <w:lang w:val="fr-FR"/>
        </w:rPr>
        <w:t xml:space="preserve">: Inspection générale de la sécurité sociale (IGSS), hospitalisations enregistrées par un hôpital (admissions formelles) et pour lesquelles une facturation a eu lieu. </w:t>
      </w:r>
    </w:p>
    <w:p w14:paraId="5E10E9DB" w14:textId="77777777" w:rsidR="00537000" w:rsidRPr="00004022" w:rsidRDefault="00537000" w:rsidP="00537000">
      <w:pPr>
        <w:pStyle w:val="ListParagraph"/>
        <w:numPr>
          <w:ilvl w:val="1"/>
          <w:numId w:val="57"/>
        </w:numPr>
        <w:ind w:hanging="229"/>
        <w:jc w:val="both"/>
        <w:rPr>
          <w:rFonts w:cstheme="minorHAnsi"/>
          <w:b/>
          <w:szCs w:val="20"/>
          <w:u w:val="single"/>
          <w:lang w:val="fr-FR"/>
        </w:rPr>
      </w:pPr>
      <w:r w:rsidRPr="00004022">
        <w:rPr>
          <w:rFonts w:cstheme="minorHAnsi"/>
          <w:szCs w:val="20"/>
          <w:lang w:val="fr-FR"/>
        </w:rPr>
        <w:t>Source : Base de données de la sécurité sociale </w:t>
      </w:r>
    </w:p>
    <w:p w14:paraId="49E86AFF" w14:textId="77777777" w:rsidR="00537000" w:rsidRPr="00EE75D1" w:rsidRDefault="00537000" w:rsidP="00537000">
      <w:pPr>
        <w:pStyle w:val="ListParagraph"/>
        <w:numPr>
          <w:ilvl w:val="1"/>
          <w:numId w:val="57"/>
        </w:numPr>
        <w:ind w:hanging="229"/>
        <w:jc w:val="both"/>
        <w:rPr>
          <w:rFonts w:cstheme="minorHAnsi"/>
          <w:b/>
          <w:szCs w:val="20"/>
          <w:u w:val="single"/>
          <w:lang w:val="fr-FR"/>
        </w:rPr>
      </w:pPr>
      <w:r w:rsidRPr="00004022">
        <w:rPr>
          <w:rFonts w:cstheme="minorHAnsi"/>
          <w:szCs w:val="20"/>
          <w:lang w:val="fr-FR"/>
        </w:rPr>
        <w:t>Extraction : IGSS</w:t>
      </w:r>
    </w:p>
    <w:p w14:paraId="745D9CD0" w14:textId="77777777" w:rsidR="00537000" w:rsidRPr="00EE75D1" w:rsidRDefault="00537000" w:rsidP="00537000">
      <w:pPr>
        <w:pStyle w:val="ListParagraph"/>
        <w:numPr>
          <w:ilvl w:val="1"/>
          <w:numId w:val="57"/>
        </w:numPr>
        <w:ind w:hanging="229"/>
        <w:jc w:val="both"/>
        <w:rPr>
          <w:rFonts w:cstheme="minorHAnsi"/>
          <w:b/>
          <w:szCs w:val="20"/>
          <w:u w:val="single"/>
          <w:lang w:val="fr-FR"/>
        </w:rPr>
      </w:pPr>
      <w:r w:rsidRPr="00EE75D1">
        <w:rPr>
          <w:rFonts w:cstheme="minorHAnsi"/>
          <w:szCs w:val="20"/>
          <w:lang w:val="fr-FR"/>
        </w:rPr>
        <w:t xml:space="preserve">Traitement final pour la présente Carte sanitaire : </w:t>
      </w:r>
      <w:r>
        <w:rPr>
          <w:rFonts w:cstheme="minorHAnsi"/>
          <w:szCs w:val="20"/>
          <w:lang w:val="fr-FR"/>
        </w:rPr>
        <w:t>ObSanté</w:t>
      </w:r>
    </w:p>
    <w:p w14:paraId="4655D225" w14:textId="77777777" w:rsidR="00537000" w:rsidRPr="00EE75D1" w:rsidRDefault="00537000" w:rsidP="00537000">
      <w:pPr>
        <w:ind w:left="426"/>
        <w:jc w:val="both"/>
        <w:rPr>
          <w:rFonts w:cstheme="minorHAnsi"/>
          <w:b/>
          <w:szCs w:val="20"/>
          <w:u w:val="single"/>
          <w:lang w:val="fr-FR"/>
        </w:rPr>
      </w:pPr>
      <w:r w:rsidRPr="00EE75D1">
        <w:rPr>
          <w:rFonts w:cstheme="minorHAnsi"/>
          <w:b/>
          <w:i/>
          <w:szCs w:val="20"/>
          <w:lang w:val="fr-FR"/>
        </w:rPr>
        <w:t xml:space="preserve">→ Les statistiques sont établies du point de vue de l’hôpital : les variables sont rattachées aux séjours hospitaliers et non aux patients </w:t>
      </w:r>
      <w:r w:rsidRPr="00EE75D1">
        <w:rPr>
          <w:rFonts w:cstheme="minorHAnsi"/>
          <w:i/>
          <w:szCs w:val="20"/>
          <w:lang w:val="fr-FR"/>
        </w:rPr>
        <w:t xml:space="preserve">(pas de données sur les </w:t>
      </w:r>
      <w:proofErr w:type="spellStart"/>
      <w:r w:rsidRPr="00EE75D1">
        <w:rPr>
          <w:rFonts w:cstheme="minorHAnsi"/>
          <w:i/>
          <w:szCs w:val="20"/>
          <w:lang w:val="fr-FR"/>
        </w:rPr>
        <w:t>réhospitalisations</w:t>
      </w:r>
      <w:proofErr w:type="spellEnd"/>
      <w:r w:rsidRPr="00EE75D1">
        <w:rPr>
          <w:rFonts w:cstheme="minorHAnsi"/>
          <w:i/>
          <w:szCs w:val="20"/>
          <w:lang w:val="fr-FR"/>
        </w:rPr>
        <w:t xml:space="preserve"> et transferts).</w:t>
      </w:r>
    </w:p>
    <w:p w14:paraId="656BB593" w14:textId="77777777" w:rsidR="00537000" w:rsidRPr="00004022" w:rsidRDefault="00537000" w:rsidP="00537000">
      <w:pPr>
        <w:jc w:val="both"/>
        <w:rPr>
          <w:rFonts w:cstheme="minorHAnsi"/>
          <w:szCs w:val="20"/>
          <w:lang w:val="fr-FR"/>
        </w:rPr>
      </w:pPr>
    </w:p>
    <w:p w14:paraId="7021A3F6" w14:textId="77777777" w:rsidR="00537000" w:rsidRPr="00004022" w:rsidRDefault="00537000" w:rsidP="00537000">
      <w:pPr>
        <w:pStyle w:val="ListParagraph"/>
        <w:numPr>
          <w:ilvl w:val="1"/>
          <w:numId w:val="3"/>
        </w:numPr>
        <w:ind w:left="426" w:hanging="284"/>
        <w:jc w:val="both"/>
        <w:rPr>
          <w:rFonts w:cstheme="minorHAnsi"/>
          <w:b/>
          <w:szCs w:val="20"/>
          <w:lang w:val="fr-FR"/>
        </w:rPr>
      </w:pPr>
      <w:r w:rsidRPr="00004022">
        <w:rPr>
          <w:rFonts w:cstheme="minorHAnsi"/>
          <w:b/>
          <w:szCs w:val="20"/>
          <w:lang w:val="fr-FR"/>
        </w:rPr>
        <w:t xml:space="preserve">Précisions sur les données d’hospitalisation : </w:t>
      </w:r>
    </w:p>
    <w:p w14:paraId="559C1338" w14:textId="77777777" w:rsidR="00537000" w:rsidRPr="00004022" w:rsidRDefault="00537000" w:rsidP="00537000">
      <w:pPr>
        <w:pStyle w:val="ListParagraph"/>
        <w:numPr>
          <w:ilvl w:val="1"/>
          <w:numId w:val="58"/>
        </w:numPr>
        <w:jc w:val="both"/>
        <w:rPr>
          <w:rFonts w:cstheme="minorHAnsi"/>
          <w:szCs w:val="20"/>
          <w:lang w:val="fr-FR"/>
        </w:rPr>
      </w:pPr>
      <w:r w:rsidRPr="00004022">
        <w:rPr>
          <w:rFonts w:cstheme="minorHAnsi"/>
          <w:szCs w:val="20"/>
          <w:lang w:val="fr-FR"/>
        </w:rPr>
        <w:t>Sont concernées les prises en charge pour lesquelles au moins un lit a été facturé pendant toute l’hospitalisation.</w:t>
      </w:r>
    </w:p>
    <w:p w14:paraId="5F9A391D" w14:textId="77777777" w:rsidR="00537000" w:rsidRPr="00004022" w:rsidRDefault="00537000" w:rsidP="00537000">
      <w:pPr>
        <w:pStyle w:val="ListParagraph"/>
        <w:ind w:left="1080"/>
        <w:jc w:val="both"/>
        <w:rPr>
          <w:rFonts w:cstheme="minorHAnsi"/>
          <w:szCs w:val="20"/>
          <w:lang w:val="fr-FR"/>
        </w:rPr>
      </w:pPr>
      <w:r w:rsidRPr="00004022">
        <w:rPr>
          <w:rFonts w:cstheme="minorHAnsi"/>
          <w:szCs w:val="20"/>
          <w:lang w:val="fr-FR"/>
        </w:rPr>
        <w:t>Exception : les prises en charge en places de surveillance peuvent donner lieu à la facturation d’une unité d’œuvre de place de surveillance ou d’autres unités d’œuvre (salles opératoires, imagerie médicale, policlinique…)</w:t>
      </w:r>
    </w:p>
    <w:p w14:paraId="3A8DEB59" w14:textId="77777777" w:rsidR="00537000" w:rsidRPr="00004022" w:rsidRDefault="00537000" w:rsidP="00537000">
      <w:pPr>
        <w:jc w:val="both"/>
        <w:rPr>
          <w:rFonts w:cstheme="minorHAnsi"/>
          <w:szCs w:val="20"/>
          <w:lang w:val="fr-FR"/>
        </w:rPr>
      </w:pPr>
    </w:p>
    <w:p w14:paraId="718A78B1" w14:textId="77777777" w:rsidR="00537000" w:rsidRPr="00004022" w:rsidRDefault="00537000" w:rsidP="00537000">
      <w:pPr>
        <w:pStyle w:val="ListParagraph"/>
        <w:numPr>
          <w:ilvl w:val="1"/>
          <w:numId w:val="58"/>
        </w:numPr>
        <w:jc w:val="both"/>
        <w:rPr>
          <w:rFonts w:cstheme="minorHAnsi"/>
          <w:szCs w:val="20"/>
          <w:lang w:val="fr-FR"/>
        </w:rPr>
      </w:pPr>
      <w:r w:rsidRPr="00004022">
        <w:rPr>
          <w:rFonts w:cstheme="minorHAnsi"/>
          <w:szCs w:val="20"/>
          <w:lang w:val="fr-FR"/>
        </w:rPr>
        <w:t xml:space="preserve">Il s’agit de prestations : </w:t>
      </w:r>
    </w:p>
    <w:p w14:paraId="68450374" w14:textId="77777777" w:rsidR="00537000" w:rsidRPr="00004022" w:rsidRDefault="00537000" w:rsidP="00537000">
      <w:pPr>
        <w:pStyle w:val="ListParagraph"/>
        <w:numPr>
          <w:ilvl w:val="2"/>
          <w:numId w:val="58"/>
        </w:numPr>
        <w:jc w:val="both"/>
        <w:rPr>
          <w:u w:val="single"/>
          <w:lang w:val="fr-FR"/>
        </w:rPr>
      </w:pPr>
      <w:proofErr w:type="gramStart"/>
      <w:r w:rsidRPr="00004022">
        <w:rPr>
          <w:rFonts w:cstheme="minorHAnsi"/>
          <w:szCs w:val="20"/>
          <w:lang w:val="fr-FR"/>
        </w:rPr>
        <w:t>remboursées</w:t>
      </w:r>
      <w:proofErr w:type="gramEnd"/>
      <w:r w:rsidRPr="00004022">
        <w:rPr>
          <w:rFonts w:cstheme="minorHAnsi"/>
          <w:szCs w:val="20"/>
          <w:lang w:val="fr-FR"/>
        </w:rPr>
        <w:t xml:space="preserve"> par la CNS à la date d’extraction, </w:t>
      </w:r>
    </w:p>
    <w:p w14:paraId="3AA25B5F" w14:textId="77777777" w:rsidR="00537000" w:rsidRPr="00004022" w:rsidRDefault="00537000" w:rsidP="00537000">
      <w:pPr>
        <w:pStyle w:val="ListParagraph"/>
        <w:numPr>
          <w:ilvl w:val="2"/>
          <w:numId w:val="58"/>
        </w:numPr>
        <w:jc w:val="both"/>
        <w:rPr>
          <w:u w:val="single"/>
          <w:lang w:val="fr-FR"/>
        </w:rPr>
      </w:pPr>
      <w:proofErr w:type="gramStart"/>
      <w:r w:rsidRPr="00004022">
        <w:rPr>
          <w:rFonts w:cstheme="minorHAnsi"/>
          <w:szCs w:val="20"/>
          <w:lang w:val="fr-FR"/>
        </w:rPr>
        <w:t>effectuées</w:t>
      </w:r>
      <w:proofErr w:type="gramEnd"/>
      <w:r w:rsidRPr="00004022">
        <w:rPr>
          <w:rFonts w:cstheme="minorHAnsi"/>
          <w:szCs w:val="20"/>
          <w:lang w:val="fr-FR"/>
        </w:rPr>
        <w:t xml:space="preserve"> par des fournisseurs luxembourgeois, </w:t>
      </w:r>
    </w:p>
    <w:p w14:paraId="01982A60" w14:textId="77777777" w:rsidR="00537000" w:rsidRPr="00004022" w:rsidRDefault="00537000" w:rsidP="00537000">
      <w:pPr>
        <w:pStyle w:val="ListParagraph"/>
        <w:numPr>
          <w:ilvl w:val="2"/>
          <w:numId w:val="58"/>
        </w:numPr>
        <w:jc w:val="both"/>
        <w:rPr>
          <w:u w:val="single"/>
          <w:lang w:val="fr-FR"/>
        </w:rPr>
      </w:pPr>
      <w:proofErr w:type="gramStart"/>
      <w:r w:rsidRPr="00004022">
        <w:rPr>
          <w:rFonts w:cstheme="minorHAnsi"/>
          <w:szCs w:val="20"/>
          <w:lang w:val="fr-FR"/>
        </w:rPr>
        <w:t>réalisées</w:t>
      </w:r>
      <w:proofErr w:type="gramEnd"/>
      <w:r w:rsidRPr="00004022">
        <w:rPr>
          <w:rFonts w:cstheme="minorHAnsi"/>
          <w:szCs w:val="20"/>
          <w:lang w:val="fr-FR"/>
        </w:rPr>
        <w:t xml:space="preserve"> au cours des années </w:t>
      </w:r>
      <w:r>
        <w:rPr>
          <w:rFonts w:cstheme="minorHAnsi"/>
          <w:b/>
          <w:szCs w:val="20"/>
          <w:lang w:val="fr-FR"/>
        </w:rPr>
        <w:t>2014</w:t>
      </w:r>
      <w:r w:rsidRPr="00004022">
        <w:rPr>
          <w:rFonts w:cstheme="minorHAnsi"/>
          <w:b/>
          <w:szCs w:val="20"/>
          <w:lang w:val="fr-FR"/>
        </w:rPr>
        <w:t>-</w:t>
      </w:r>
      <w:r>
        <w:rPr>
          <w:rFonts w:cstheme="minorHAnsi"/>
          <w:b/>
          <w:szCs w:val="20"/>
          <w:lang w:val="fr-FR"/>
        </w:rPr>
        <w:t>2024</w:t>
      </w:r>
      <w:r w:rsidRPr="00004022">
        <w:rPr>
          <w:rFonts w:cstheme="minorHAnsi"/>
          <w:szCs w:val="20"/>
          <w:lang w:val="fr-FR"/>
        </w:rPr>
        <w:t xml:space="preserve"> (sauf indication différente). Cette </w:t>
      </w:r>
      <w:r w:rsidRPr="00004022">
        <w:rPr>
          <w:rFonts w:cstheme="minorHAnsi"/>
          <w:b/>
          <w:szCs w:val="20"/>
          <w:lang w:val="fr-FR"/>
        </w:rPr>
        <w:t>période d’observation pluriannuelle</w:t>
      </w:r>
      <w:r w:rsidRPr="00004022">
        <w:rPr>
          <w:rFonts w:cstheme="minorHAnsi"/>
          <w:szCs w:val="20"/>
          <w:lang w:val="fr-FR"/>
        </w:rPr>
        <w:t xml:space="preserve"> permet de donner une certaine robustesse aux observations et de connaître l’évolution des paramètres suivis. </w:t>
      </w:r>
    </w:p>
    <w:p w14:paraId="459E56B4" w14:textId="77777777" w:rsidR="00537000" w:rsidRPr="00004022" w:rsidRDefault="00537000" w:rsidP="00537000">
      <w:pPr>
        <w:pStyle w:val="ListParagraph"/>
        <w:ind w:left="1800"/>
        <w:jc w:val="both"/>
        <w:rPr>
          <w:lang w:val="fr-FR"/>
        </w:rPr>
      </w:pPr>
      <w:r w:rsidRPr="00004022">
        <w:rPr>
          <w:rFonts w:cstheme="minorHAnsi"/>
          <w:szCs w:val="20"/>
          <w:lang w:val="fr-FR"/>
        </w:rPr>
        <w:t>Seules les prises en charge clôturées sont considérées et l’année de référence correspond à l’année de fin de l’hospitalisation (si l’hospitalisation n’est pas terminée à la date d’extraction des données, elle n’est pas incluse).</w:t>
      </w:r>
    </w:p>
    <w:p w14:paraId="66710936" w14:textId="77777777" w:rsidR="00537000" w:rsidRPr="00004022" w:rsidRDefault="00537000" w:rsidP="00537000">
      <w:pPr>
        <w:pStyle w:val="ListParagraph"/>
        <w:ind w:left="1800"/>
        <w:jc w:val="both"/>
        <w:rPr>
          <w:rFonts w:cstheme="minorHAnsi"/>
          <w:szCs w:val="20"/>
          <w:lang w:val="fr-FR"/>
        </w:rPr>
      </w:pPr>
      <w:bookmarkStart w:id="10" w:name="_Hlk163142081"/>
      <w:r w:rsidRPr="00004022">
        <w:rPr>
          <w:rFonts w:cstheme="minorHAnsi"/>
          <w:szCs w:val="20"/>
          <w:lang w:val="fr-FR"/>
        </w:rPr>
        <w:t>L’</w:t>
      </w:r>
      <w:r w:rsidRPr="00004022">
        <w:rPr>
          <w:rFonts w:cstheme="minorHAnsi"/>
          <w:b/>
          <w:szCs w:val="20"/>
          <w:lang w:val="fr-FR"/>
        </w:rPr>
        <w:t xml:space="preserve">année </w:t>
      </w:r>
      <w:r>
        <w:rPr>
          <w:rFonts w:cstheme="minorHAnsi"/>
          <w:b/>
          <w:szCs w:val="20"/>
          <w:lang w:val="fr-FR"/>
        </w:rPr>
        <w:t>2023</w:t>
      </w:r>
      <w:r w:rsidRPr="00004022">
        <w:rPr>
          <w:rFonts w:cstheme="minorHAnsi"/>
          <w:b/>
          <w:szCs w:val="20"/>
          <w:lang w:val="fr-FR"/>
        </w:rPr>
        <w:t xml:space="preserve"> </w:t>
      </w:r>
      <w:r w:rsidRPr="00004022">
        <w:rPr>
          <w:rFonts w:cstheme="minorHAnsi"/>
          <w:szCs w:val="20"/>
          <w:lang w:val="fr-FR"/>
        </w:rPr>
        <w:t xml:space="preserve">a été choisie comme année de référence pour les </w:t>
      </w:r>
      <w:r w:rsidRPr="00004022">
        <w:rPr>
          <w:rFonts w:cstheme="minorHAnsi"/>
          <w:b/>
          <w:szCs w:val="20"/>
          <w:lang w:val="fr-FR"/>
        </w:rPr>
        <w:t>focus</w:t>
      </w:r>
      <w:r w:rsidRPr="00004022">
        <w:rPr>
          <w:rFonts w:cstheme="minorHAnsi"/>
          <w:szCs w:val="20"/>
          <w:lang w:val="fr-FR"/>
        </w:rPr>
        <w:t xml:space="preserve"> car les données </w:t>
      </w:r>
      <w:r>
        <w:rPr>
          <w:rFonts w:cstheme="minorHAnsi"/>
          <w:szCs w:val="20"/>
          <w:lang w:val="fr-FR"/>
        </w:rPr>
        <w:t>2024</w:t>
      </w:r>
      <w:r w:rsidRPr="00004022">
        <w:rPr>
          <w:rFonts w:cstheme="minorHAnsi"/>
          <w:szCs w:val="20"/>
          <w:lang w:val="fr-FR"/>
        </w:rPr>
        <w:t xml:space="preserve"> sont provisoires (les factures pouvant être transmises jusqu’à 2 ans après la date de réalisation de l’acte/prestation). Le caractère provisoire des données est indiqué par le symbole « (p) ».</w:t>
      </w:r>
    </w:p>
    <w:bookmarkEnd w:id="10"/>
    <w:p w14:paraId="197B4F69" w14:textId="77777777" w:rsidR="00537000" w:rsidRPr="00004022" w:rsidRDefault="00537000" w:rsidP="00537000">
      <w:pPr>
        <w:jc w:val="both"/>
        <w:rPr>
          <w:rFonts w:cstheme="minorHAnsi"/>
          <w:szCs w:val="20"/>
          <w:lang w:val="fr-FR"/>
        </w:rPr>
      </w:pPr>
    </w:p>
    <w:p w14:paraId="2AA22D1D" w14:textId="77777777" w:rsidR="00537000" w:rsidRPr="00004022" w:rsidRDefault="00537000" w:rsidP="00537000">
      <w:pPr>
        <w:pStyle w:val="ListParagraph"/>
        <w:numPr>
          <w:ilvl w:val="1"/>
          <w:numId w:val="58"/>
        </w:numPr>
        <w:jc w:val="both"/>
        <w:rPr>
          <w:rFonts w:cstheme="minorHAnsi"/>
          <w:szCs w:val="20"/>
          <w:lang w:val="fr-FR"/>
        </w:rPr>
      </w:pPr>
      <w:r w:rsidRPr="00004022">
        <w:rPr>
          <w:rFonts w:cstheme="minorHAnsi"/>
          <w:szCs w:val="20"/>
          <w:lang w:val="fr-FR"/>
        </w:rPr>
        <w:lastRenderedPageBreak/>
        <w:t xml:space="preserve">La </w:t>
      </w:r>
      <w:r w:rsidRPr="00425FB5">
        <w:rPr>
          <w:rFonts w:cstheme="minorHAnsi"/>
          <w:b/>
          <w:bCs/>
          <w:szCs w:val="20"/>
          <w:lang w:val="fr-FR"/>
        </w:rPr>
        <w:t>résidence</w:t>
      </w:r>
      <w:r w:rsidRPr="00004022">
        <w:rPr>
          <w:rFonts w:cstheme="minorHAnsi"/>
          <w:szCs w:val="20"/>
          <w:lang w:val="fr-FR"/>
        </w:rPr>
        <w:t xml:space="preserve"> du patient retenue est celle connue au moment de la saisie de la facture par la CNS.</w:t>
      </w:r>
    </w:p>
    <w:p w14:paraId="2AA96D54" w14:textId="77777777" w:rsidR="00537000" w:rsidRPr="00004022" w:rsidRDefault="00537000" w:rsidP="00537000">
      <w:pPr>
        <w:pStyle w:val="ListParagraph"/>
        <w:ind w:left="1080"/>
        <w:jc w:val="both"/>
        <w:rPr>
          <w:rFonts w:cstheme="minorHAnsi"/>
          <w:szCs w:val="20"/>
          <w:lang w:val="fr-FR"/>
        </w:rPr>
      </w:pPr>
    </w:p>
    <w:p w14:paraId="40D40768" w14:textId="77777777" w:rsidR="00537000" w:rsidRPr="00004022" w:rsidRDefault="00537000" w:rsidP="00537000">
      <w:pPr>
        <w:pStyle w:val="ListParagraph"/>
        <w:numPr>
          <w:ilvl w:val="1"/>
          <w:numId w:val="4"/>
        </w:numPr>
        <w:ind w:hanging="371"/>
        <w:jc w:val="both"/>
        <w:rPr>
          <w:rFonts w:cs="Calibri"/>
          <w:szCs w:val="20"/>
          <w:lang w:val="fr-FR"/>
        </w:rPr>
      </w:pPr>
      <w:r w:rsidRPr="00004022">
        <w:rPr>
          <w:rFonts w:cs="Calibri"/>
          <w:b/>
          <w:szCs w:val="20"/>
          <w:lang w:val="fr-FR"/>
        </w:rPr>
        <w:t>Classification des âges</w:t>
      </w:r>
      <w:r w:rsidRPr="00004022">
        <w:rPr>
          <w:rFonts w:cs="Calibri"/>
          <w:szCs w:val="20"/>
          <w:lang w:val="fr-FR"/>
        </w:rPr>
        <w:t> : par groupe de 5 années, sauf exceptions signalées</w:t>
      </w:r>
    </w:p>
    <w:p w14:paraId="212CFD18" w14:textId="77777777" w:rsidR="00537000" w:rsidRPr="00004022" w:rsidRDefault="00537000" w:rsidP="00537000">
      <w:pPr>
        <w:pStyle w:val="ListParagraph"/>
        <w:ind w:left="360"/>
        <w:jc w:val="both"/>
        <w:rPr>
          <w:rFonts w:cstheme="minorHAnsi"/>
          <w:szCs w:val="20"/>
          <w:lang w:val="fr-FR"/>
        </w:rPr>
      </w:pPr>
    </w:p>
    <w:p w14:paraId="55F6532A" w14:textId="77777777" w:rsidR="00537000" w:rsidRPr="00004022" w:rsidRDefault="00537000" w:rsidP="00537000">
      <w:pPr>
        <w:pStyle w:val="ListParagraph"/>
        <w:numPr>
          <w:ilvl w:val="1"/>
          <w:numId w:val="4"/>
        </w:numPr>
        <w:jc w:val="both"/>
        <w:rPr>
          <w:rFonts w:cs="Calibri"/>
          <w:szCs w:val="20"/>
          <w:lang w:val="fr-FR"/>
        </w:rPr>
      </w:pPr>
      <w:bookmarkStart w:id="11" w:name="_Hlk163142158"/>
      <w:r w:rsidRPr="00004022">
        <w:rPr>
          <w:rFonts w:cs="Calibri"/>
          <w:b/>
          <w:szCs w:val="20"/>
          <w:lang w:val="fr-FR"/>
        </w:rPr>
        <w:t>Petits effectifs</w:t>
      </w:r>
      <w:r w:rsidRPr="00004022">
        <w:rPr>
          <w:rFonts w:cs="Calibri"/>
          <w:szCs w:val="20"/>
          <w:lang w:val="fr-FR"/>
        </w:rPr>
        <w:t> : les valeurs inférieures à 5 sont remplacées par « &lt;5 » afin d’attirer l’attention sur le fait qu’il s’agit de petits effectifs dont l’interprétation est difficile et pour garantir la confidentialité des données, même s’il s’agit de données agrégées.</w:t>
      </w:r>
    </w:p>
    <w:bookmarkEnd w:id="11"/>
    <w:p w14:paraId="65E15D1B" w14:textId="77777777" w:rsidR="00537000" w:rsidRPr="00004022" w:rsidRDefault="00537000" w:rsidP="00537000">
      <w:pPr>
        <w:pStyle w:val="ListParagraph"/>
        <w:rPr>
          <w:rFonts w:cs="Calibri"/>
          <w:szCs w:val="20"/>
          <w:lang w:val="fr-FR"/>
        </w:rPr>
      </w:pPr>
    </w:p>
    <w:p w14:paraId="11BDAF66" w14:textId="77777777" w:rsidR="00537000" w:rsidRPr="00004022" w:rsidRDefault="00537000" w:rsidP="00537000">
      <w:pPr>
        <w:jc w:val="both"/>
        <w:rPr>
          <w:rFonts w:cstheme="minorHAnsi"/>
          <w:b/>
          <w:szCs w:val="20"/>
          <w:u w:val="single"/>
          <w:lang w:val="fr-FR"/>
        </w:rPr>
      </w:pPr>
      <w:r w:rsidRPr="00004022">
        <w:rPr>
          <w:rFonts w:cstheme="minorHAnsi"/>
          <w:b/>
          <w:u w:val="single"/>
          <w:lang w:val="fr-FR"/>
        </w:rPr>
        <w:t>Champ d’observation et périmètre des données</w:t>
      </w:r>
      <w:r w:rsidRPr="00004022">
        <w:rPr>
          <w:rFonts w:cstheme="minorHAnsi"/>
          <w:b/>
          <w:lang w:val="fr-FR"/>
        </w:rPr>
        <w:t xml:space="preserve"> : </w:t>
      </w:r>
    </w:p>
    <w:p w14:paraId="34FEA6AF" w14:textId="77777777" w:rsidR="00537000" w:rsidRPr="00004022" w:rsidRDefault="00537000" w:rsidP="00537000">
      <w:pPr>
        <w:jc w:val="both"/>
        <w:rPr>
          <w:rFonts w:eastAsia="Times New Roman" w:cstheme="minorHAnsi"/>
          <w:szCs w:val="20"/>
          <w:lang w:val="fr-FR"/>
        </w:rPr>
      </w:pPr>
    </w:p>
    <w:tbl>
      <w:tblPr>
        <w:tblW w:w="9922" w:type="dxa"/>
        <w:tblInd w:w="-431" w:type="dxa"/>
        <w:tblBorders>
          <w:bottom w:val="single" w:sz="4" w:space="0" w:color="999999" w:themeColor="text1" w:themeTint="66"/>
          <w:insideH w:val="single" w:sz="4" w:space="0" w:color="999999" w:themeColor="text1" w:themeTint="66"/>
          <w:insideV w:val="single" w:sz="4" w:space="0" w:color="999999" w:themeColor="text1" w:themeTint="66"/>
        </w:tblBorders>
        <w:tblCellMar>
          <w:top w:w="57" w:type="dxa"/>
          <w:bottom w:w="57" w:type="dxa"/>
        </w:tblCellMar>
        <w:tblLook w:val="04A0" w:firstRow="1" w:lastRow="0" w:firstColumn="1" w:lastColumn="0" w:noHBand="0" w:noVBand="1"/>
      </w:tblPr>
      <w:tblGrid>
        <w:gridCol w:w="1684"/>
        <w:gridCol w:w="8238"/>
      </w:tblGrid>
      <w:tr w:rsidR="00537000" w:rsidRPr="00112DCF" w14:paraId="7D04B083" w14:textId="77777777" w:rsidTr="00592E43">
        <w:tc>
          <w:tcPr>
            <w:tcW w:w="1471" w:type="dxa"/>
            <w:shd w:val="clear" w:color="auto" w:fill="B7D4EF" w:themeFill="text2" w:themeFillTint="33"/>
          </w:tcPr>
          <w:p w14:paraId="284D5E1E"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b/>
                <w:color w:val="196B24" w:themeColor="accent3"/>
                <w:szCs w:val="20"/>
                <w:lang w:val="fr-FR"/>
              </w:rPr>
              <w:t>Pour tous les établissements</w:t>
            </w:r>
          </w:p>
        </w:tc>
        <w:tc>
          <w:tcPr>
            <w:tcW w:w="8451" w:type="dxa"/>
          </w:tcPr>
          <w:p w14:paraId="3B2076DF" w14:textId="77777777" w:rsidR="00537000" w:rsidRPr="00004022" w:rsidRDefault="00537000" w:rsidP="00592E43">
            <w:pPr>
              <w:jc w:val="both"/>
              <w:rPr>
                <w:rFonts w:cstheme="minorHAnsi"/>
                <w:szCs w:val="20"/>
                <w:lang w:val="fr-FR"/>
              </w:rPr>
            </w:pPr>
            <w:r w:rsidRPr="00004022">
              <w:rPr>
                <w:rFonts w:cstheme="minorHAnsi"/>
                <w:szCs w:val="20"/>
                <w:lang w:val="fr-FR"/>
              </w:rPr>
              <w:t xml:space="preserve">D’un point de vue </w:t>
            </w:r>
            <w:r w:rsidRPr="00004022">
              <w:rPr>
                <w:rFonts w:cstheme="minorHAnsi"/>
                <w:szCs w:val="20"/>
                <w:u w:val="single"/>
                <w:lang w:val="fr-FR"/>
              </w:rPr>
              <w:t>populationnel</w:t>
            </w:r>
            <w:r w:rsidRPr="00004022">
              <w:rPr>
                <w:rFonts w:cstheme="minorHAnsi"/>
                <w:szCs w:val="20"/>
                <w:lang w:val="fr-FR"/>
              </w:rPr>
              <w:t xml:space="preserve">, les données d’hospitalisation présentées </w:t>
            </w:r>
            <w:r w:rsidRPr="00004022">
              <w:rPr>
                <w:rFonts w:cstheme="minorHAnsi"/>
                <w:szCs w:val="20"/>
                <w:u w:val="single"/>
                <w:lang w:val="fr-FR"/>
              </w:rPr>
              <w:t>concernent</w:t>
            </w:r>
            <w:r w:rsidRPr="00004022">
              <w:rPr>
                <w:rFonts w:cstheme="minorHAnsi"/>
                <w:szCs w:val="20"/>
                <w:lang w:val="fr-FR"/>
              </w:rPr>
              <w:t> :</w:t>
            </w:r>
          </w:p>
          <w:p w14:paraId="677D17E9" w14:textId="77777777" w:rsidR="00537000" w:rsidRPr="00004022" w:rsidRDefault="00537000" w:rsidP="00592E43">
            <w:pPr>
              <w:pStyle w:val="ListParagraph"/>
              <w:numPr>
                <w:ilvl w:val="0"/>
                <w:numId w:val="4"/>
              </w:numPr>
              <w:ind w:left="336" w:hanging="141"/>
              <w:jc w:val="both"/>
              <w:rPr>
                <w:rFonts w:cstheme="minorHAnsi"/>
                <w:szCs w:val="20"/>
                <w:u w:val="single"/>
                <w:lang w:val="fr-FR"/>
              </w:rPr>
            </w:pPr>
            <w:proofErr w:type="gramStart"/>
            <w:r w:rsidRPr="00004022">
              <w:rPr>
                <w:rFonts w:cstheme="minorHAnsi"/>
                <w:szCs w:val="20"/>
                <w:lang w:val="fr-FR"/>
              </w:rPr>
              <w:t>les</w:t>
            </w:r>
            <w:proofErr w:type="gramEnd"/>
            <w:r w:rsidRPr="00004022">
              <w:rPr>
                <w:rFonts w:cstheme="minorHAnsi"/>
                <w:szCs w:val="20"/>
                <w:lang w:val="fr-FR"/>
              </w:rPr>
              <w:t xml:space="preserve"> </w:t>
            </w:r>
            <w:r w:rsidRPr="00004022">
              <w:rPr>
                <w:rFonts w:cstheme="minorHAnsi"/>
                <w:b/>
                <w:szCs w:val="20"/>
                <w:lang w:val="fr-FR"/>
              </w:rPr>
              <w:t>personnes résidentes ou non</w:t>
            </w:r>
            <w:r w:rsidRPr="00004022">
              <w:rPr>
                <w:rFonts w:cstheme="minorHAnsi"/>
                <w:szCs w:val="20"/>
                <w:lang w:val="fr-FR"/>
              </w:rPr>
              <w:t xml:space="preserve">, relevant, directement ou par assimilation, de la </w:t>
            </w:r>
            <w:r w:rsidRPr="00004022">
              <w:rPr>
                <w:rFonts w:cstheme="minorHAnsi"/>
                <w:b/>
                <w:szCs w:val="20"/>
                <w:lang w:val="fr-FR"/>
              </w:rPr>
              <w:t>protection de la sécurité sociale,</w:t>
            </w:r>
          </w:p>
          <w:p w14:paraId="450B29C0" w14:textId="77777777" w:rsidR="00537000" w:rsidRPr="00004022" w:rsidRDefault="00537000" w:rsidP="00592E43">
            <w:pPr>
              <w:pStyle w:val="ListParagraph"/>
              <w:numPr>
                <w:ilvl w:val="0"/>
                <w:numId w:val="4"/>
              </w:numPr>
              <w:ind w:left="336" w:hanging="141"/>
              <w:jc w:val="both"/>
              <w:rPr>
                <w:rFonts w:cstheme="minorHAnsi"/>
                <w:szCs w:val="20"/>
                <w:u w:val="single"/>
                <w:lang w:val="fr-FR"/>
              </w:rPr>
            </w:pPr>
            <w:proofErr w:type="gramStart"/>
            <w:r w:rsidRPr="00004022">
              <w:rPr>
                <w:rFonts w:cstheme="minorHAnsi"/>
                <w:szCs w:val="20"/>
                <w:lang w:val="fr-FR"/>
              </w:rPr>
              <w:t>et</w:t>
            </w:r>
            <w:proofErr w:type="gramEnd"/>
            <w:r w:rsidRPr="00004022">
              <w:rPr>
                <w:rFonts w:cstheme="minorHAnsi"/>
                <w:szCs w:val="20"/>
                <w:lang w:val="fr-FR"/>
              </w:rPr>
              <w:t xml:space="preserve"> qui ont été hospitalisées pour des </w:t>
            </w:r>
            <w:r w:rsidRPr="00004022">
              <w:rPr>
                <w:rFonts w:cstheme="minorHAnsi"/>
                <w:b/>
                <w:szCs w:val="20"/>
                <w:lang w:val="fr-FR"/>
              </w:rPr>
              <w:t>activités opposables à la CNS</w:t>
            </w:r>
            <w:r w:rsidRPr="00004022">
              <w:rPr>
                <w:rFonts w:cstheme="minorHAnsi"/>
                <w:szCs w:val="20"/>
                <w:lang w:val="fr-FR"/>
              </w:rPr>
              <w:t xml:space="preserve"> selon ses statuts.</w:t>
            </w:r>
          </w:p>
          <w:p w14:paraId="584D7800" w14:textId="77777777" w:rsidR="00537000" w:rsidRPr="00004022" w:rsidRDefault="00537000" w:rsidP="00592E43">
            <w:pPr>
              <w:pStyle w:val="ListParagraph"/>
              <w:ind w:left="0"/>
              <w:jc w:val="both"/>
              <w:rPr>
                <w:rFonts w:cstheme="minorHAnsi"/>
                <w:szCs w:val="20"/>
                <w:lang w:val="fr-FR"/>
              </w:rPr>
            </w:pPr>
          </w:p>
          <w:p w14:paraId="2F017C41" w14:textId="77777777" w:rsidR="00537000" w:rsidRPr="00004022" w:rsidRDefault="00537000" w:rsidP="00592E43">
            <w:pPr>
              <w:pStyle w:val="ListParagraph"/>
              <w:ind w:left="0"/>
              <w:jc w:val="both"/>
              <w:rPr>
                <w:rFonts w:cstheme="minorHAnsi"/>
                <w:szCs w:val="20"/>
                <w:lang w:val="fr-FR"/>
              </w:rPr>
            </w:pPr>
            <w:r w:rsidRPr="00004022">
              <w:rPr>
                <w:rFonts w:cstheme="minorHAnsi"/>
                <w:szCs w:val="20"/>
                <w:lang w:val="fr-FR"/>
              </w:rPr>
              <w:t xml:space="preserve">Les données et les calculs subséquents </w:t>
            </w:r>
            <w:r w:rsidRPr="00004022">
              <w:rPr>
                <w:rFonts w:cstheme="minorHAnsi"/>
                <w:szCs w:val="20"/>
                <w:u w:val="single"/>
                <w:lang w:val="fr-FR"/>
              </w:rPr>
              <w:t>ne comprennent pas</w:t>
            </w:r>
            <w:r w:rsidRPr="00004022">
              <w:rPr>
                <w:rFonts w:cstheme="minorHAnsi"/>
                <w:szCs w:val="20"/>
                <w:lang w:val="fr-FR"/>
              </w:rPr>
              <w:t> :</w:t>
            </w:r>
          </w:p>
          <w:p w14:paraId="6708A4CD" w14:textId="77777777" w:rsidR="00537000" w:rsidRPr="00004022" w:rsidRDefault="00537000" w:rsidP="00592E43">
            <w:pPr>
              <w:pStyle w:val="ListParagraph"/>
              <w:numPr>
                <w:ilvl w:val="0"/>
                <w:numId w:val="7"/>
              </w:numPr>
              <w:ind w:left="336" w:hanging="141"/>
              <w:jc w:val="both"/>
              <w:rPr>
                <w:rFonts w:cs="Calibri"/>
                <w:szCs w:val="20"/>
                <w:lang w:val="fr-FR"/>
              </w:rPr>
            </w:pPr>
            <w:proofErr w:type="gramStart"/>
            <w:r w:rsidRPr="00004022">
              <w:rPr>
                <w:rFonts w:cs="Calibri"/>
                <w:szCs w:val="20"/>
                <w:lang w:val="fr-FR"/>
              </w:rPr>
              <w:t>les</w:t>
            </w:r>
            <w:proofErr w:type="gramEnd"/>
            <w:r w:rsidRPr="00004022">
              <w:rPr>
                <w:rFonts w:cs="Calibri"/>
                <w:szCs w:val="20"/>
                <w:lang w:val="fr-FR"/>
              </w:rPr>
              <w:t xml:space="preserve"> données d’activité en lien avec des personnes non assurées par la CNS dont notamment les fonctionnaires et autres agents des institutions internationales</w:t>
            </w:r>
          </w:p>
          <w:p w14:paraId="51A7287C" w14:textId="77777777" w:rsidR="00537000" w:rsidRPr="00004022" w:rsidRDefault="00537000" w:rsidP="00592E43">
            <w:pPr>
              <w:pStyle w:val="ListParagraph"/>
              <w:numPr>
                <w:ilvl w:val="0"/>
                <w:numId w:val="7"/>
              </w:numPr>
              <w:ind w:left="336" w:hanging="141"/>
              <w:jc w:val="both"/>
              <w:rPr>
                <w:rFonts w:cs="Calibri"/>
                <w:szCs w:val="20"/>
                <w:lang w:val="fr-FR"/>
              </w:rPr>
            </w:pPr>
            <w:proofErr w:type="gramStart"/>
            <w:r w:rsidRPr="00004022">
              <w:rPr>
                <w:rFonts w:cs="Calibri"/>
                <w:szCs w:val="20"/>
                <w:lang w:val="fr-FR"/>
              </w:rPr>
              <w:t>les</w:t>
            </w:r>
            <w:proofErr w:type="gramEnd"/>
            <w:r w:rsidRPr="00004022">
              <w:rPr>
                <w:rFonts w:cs="Calibri"/>
                <w:szCs w:val="20"/>
                <w:lang w:val="fr-FR"/>
              </w:rPr>
              <w:t xml:space="preserve"> personnes sans assurance maladie</w:t>
            </w:r>
          </w:p>
          <w:p w14:paraId="14C8F8FD" w14:textId="77777777" w:rsidR="00537000" w:rsidRPr="00004022" w:rsidRDefault="00537000" w:rsidP="00592E43">
            <w:pPr>
              <w:pStyle w:val="ListParagraph"/>
              <w:numPr>
                <w:ilvl w:val="0"/>
                <w:numId w:val="7"/>
              </w:numPr>
              <w:ind w:left="336" w:hanging="141"/>
              <w:jc w:val="both"/>
              <w:rPr>
                <w:rFonts w:eastAsia="Times New Roman" w:cstheme="minorHAnsi"/>
                <w:szCs w:val="20"/>
                <w:lang w:val="fr-FR"/>
              </w:rPr>
            </w:pPr>
            <w:proofErr w:type="gramStart"/>
            <w:r w:rsidRPr="00004022">
              <w:rPr>
                <w:rFonts w:cs="Calibri"/>
                <w:szCs w:val="20"/>
                <w:lang w:val="fr-FR"/>
              </w:rPr>
              <w:t>les</w:t>
            </w:r>
            <w:proofErr w:type="gramEnd"/>
            <w:r w:rsidRPr="00004022">
              <w:rPr>
                <w:rFonts w:cs="Calibri"/>
                <w:szCs w:val="20"/>
                <w:lang w:val="fr-FR"/>
              </w:rPr>
              <w:t xml:space="preserve"> données d’activité non opposables à la CNS selon ses statuts.</w:t>
            </w:r>
          </w:p>
        </w:tc>
      </w:tr>
      <w:tr w:rsidR="00537000" w:rsidRPr="00F92F9D" w14:paraId="1EE31A67" w14:textId="77777777" w:rsidTr="00592E43">
        <w:tc>
          <w:tcPr>
            <w:tcW w:w="1471" w:type="dxa"/>
            <w:vMerge w:val="restart"/>
            <w:shd w:val="clear" w:color="auto" w:fill="B7D4EF" w:themeFill="text2" w:themeFillTint="33"/>
          </w:tcPr>
          <w:p w14:paraId="37F4910B"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b/>
                <w:color w:val="196B24" w:themeColor="accent3"/>
                <w:szCs w:val="20"/>
                <w:lang w:val="fr-FR"/>
              </w:rPr>
              <w:t xml:space="preserve">Établissements hospitaliers classés centres hospitaliers selon la loi hospitalière de 2018 </w:t>
            </w:r>
          </w:p>
          <w:p w14:paraId="3C6D2BC9" w14:textId="77777777" w:rsidR="00537000" w:rsidRPr="00E1451F" w:rsidRDefault="00537000" w:rsidP="00592E43">
            <w:pPr>
              <w:rPr>
                <w:rFonts w:eastAsia="Times New Roman" w:cstheme="minorHAnsi"/>
                <w:i/>
                <w:color w:val="196B24" w:themeColor="accent3"/>
                <w:szCs w:val="20"/>
                <w:lang w:val="fr-FR"/>
              </w:rPr>
            </w:pPr>
            <w:r w:rsidRPr="00E1451F">
              <w:rPr>
                <w:rFonts w:eastAsia="Times New Roman" w:cstheme="minorHAnsi"/>
                <w:i/>
                <w:color w:val="196B24" w:themeColor="accent3"/>
                <w:sz w:val="16"/>
                <w:szCs w:val="20"/>
                <w:lang w:val="fr-FR"/>
              </w:rPr>
              <w:t>(</w:t>
            </w:r>
            <w:proofErr w:type="gramStart"/>
            <w:r w:rsidRPr="00E1451F">
              <w:rPr>
                <w:rFonts w:eastAsia="Times New Roman" w:cstheme="minorHAnsi"/>
                <w:i/>
                <w:color w:val="196B24" w:themeColor="accent3"/>
                <w:sz w:val="16"/>
                <w:szCs w:val="20"/>
                <w:lang w:val="fr-FR"/>
              </w:rPr>
              <w:t>art</w:t>
            </w:r>
            <w:proofErr w:type="gramEnd"/>
            <w:r w:rsidRPr="00E1451F">
              <w:rPr>
                <w:rFonts w:eastAsia="Times New Roman" w:cstheme="minorHAnsi"/>
                <w:i/>
                <w:color w:val="196B24" w:themeColor="accent3"/>
                <w:sz w:val="16"/>
                <w:szCs w:val="20"/>
                <w:lang w:val="fr-FR"/>
              </w:rPr>
              <w:t xml:space="preserve"> 1</w:t>
            </w:r>
            <w:r w:rsidRPr="00E1451F">
              <w:rPr>
                <w:rFonts w:eastAsia="Times New Roman" w:cstheme="minorHAnsi"/>
                <w:i/>
                <w:color w:val="196B24" w:themeColor="accent3"/>
                <w:sz w:val="16"/>
                <w:szCs w:val="20"/>
                <w:vertAlign w:val="superscript"/>
                <w:lang w:val="fr-FR"/>
              </w:rPr>
              <w:t xml:space="preserve">er </w:t>
            </w:r>
            <w:r w:rsidRPr="00E1451F">
              <w:rPr>
                <w:rFonts w:eastAsia="Times New Roman" w:cstheme="minorHAnsi"/>
                <w:i/>
                <w:color w:val="196B24" w:themeColor="accent3"/>
                <w:sz w:val="16"/>
                <w:szCs w:val="20"/>
                <w:lang w:val="fr-FR"/>
              </w:rPr>
              <w:t>alinéa 3.2)</w:t>
            </w:r>
          </w:p>
        </w:tc>
        <w:tc>
          <w:tcPr>
            <w:tcW w:w="8451" w:type="dxa"/>
          </w:tcPr>
          <w:p w14:paraId="4335A13A" w14:textId="77777777" w:rsidR="00537000" w:rsidRPr="00004022" w:rsidRDefault="00537000" w:rsidP="00592E43">
            <w:pPr>
              <w:jc w:val="both"/>
              <w:rPr>
                <w:rFonts w:eastAsia="Times New Roman" w:cstheme="minorHAnsi"/>
                <w:szCs w:val="20"/>
                <w:lang w:val="fr-FR"/>
              </w:rPr>
            </w:pPr>
            <w:r>
              <w:rPr>
                <w:rFonts w:eastAsia="Times New Roman" w:cstheme="minorHAnsi"/>
                <w:b/>
                <w:szCs w:val="20"/>
                <w:u w:val="single"/>
                <w:lang w:val="fr-FR"/>
              </w:rPr>
              <w:t>É</w:t>
            </w:r>
            <w:r w:rsidRPr="00004022">
              <w:rPr>
                <w:rFonts w:eastAsia="Times New Roman" w:cstheme="minorHAnsi"/>
                <w:b/>
                <w:szCs w:val="20"/>
                <w:u w:val="single"/>
                <w:lang w:val="fr-FR"/>
              </w:rPr>
              <w:t>tablissements concernés</w:t>
            </w:r>
            <w:r w:rsidRPr="00004022">
              <w:rPr>
                <w:rFonts w:eastAsia="Times New Roman" w:cstheme="minorHAnsi"/>
                <w:szCs w:val="20"/>
                <w:lang w:val="fr-FR"/>
              </w:rPr>
              <w:t xml:space="preserve"> : </w:t>
            </w:r>
          </w:p>
          <w:p w14:paraId="7B76F46D" w14:textId="77777777" w:rsidR="00537000" w:rsidRPr="00004022" w:rsidRDefault="00537000" w:rsidP="00592E43">
            <w:pPr>
              <w:jc w:val="both"/>
              <w:rPr>
                <w:rFonts w:eastAsia="Times New Roman" w:cstheme="minorHAnsi"/>
                <w:szCs w:val="20"/>
                <w:lang w:val="fr-FR"/>
              </w:rPr>
            </w:pPr>
          </w:p>
          <w:p w14:paraId="1D8BE8F2" w14:textId="77777777" w:rsidR="00537000" w:rsidRPr="00004022" w:rsidRDefault="00537000" w:rsidP="00592E43">
            <w:pPr>
              <w:jc w:val="both"/>
              <w:rPr>
                <w:rFonts w:eastAsia="Times New Roman" w:cstheme="minorHAnsi"/>
                <w:szCs w:val="20"/>
                <w:lang w:val="fr-FR"/>
              </w:rPr>
            </w:pPr>
            <w:r w:rsidRPr="00004022">
              <w:rPr>
                <w:rFonts w:eastAsia="Times New Roman" w:cstheme="minorHAnsi"/>
                <w:szCs w:val="20"/>
                <w:lang w:val="fr-FR"/>
              </w:rPr>
              <w:t xml:space="preserve">Les centres hospitaliers sont des hôpitaux* assurant une large offre de prises en charge diagnostiques et thérapeutiques :  </w:t>
            </w:r>
          </w:p>
          <w:p w14:paraId="1B743C65" w14:textId="77777777" w:rsidR="00537000" w:rsidRPr="00004022" w:rsidRDefault="00537000" w:rsidP="00592E43">
            <w:pPr>
              <w:pStyle w:val="ListParagraph"/>
              <w:numPr>
                <w:ilvl w:val="1"/>
                <w:numId w:val="60"/>
              </w:numPr>
              <w:ind w:left="336" w:hanging="141"/>
              <w:jc w:val="both"/>
              <w:rPr>
                <w:rFonts w:cstheme="minorHAnsi"/>
                <w:szCs w:val="16"/>
                <w:lang w:val="fr-FR"/>
              </w:rPr>
            </w:pPr>
            <w:r w:rsidRPr="00004022">
              <w:rPr>
                <w:rFonts w:cstheme="minorHAnsi"/>
                <w:b/>
                <w:szCs w:val="16"/>
                <w:lang w:val="fr-FR"/>
              </w:rPr>
              <w:t>Centre Hospitalier du Nord</w:t>
            </w:r>
            <w:r w:rsidRPr="00004022">
              <w:rPr>
                <w:rFonts w:cstheme="minorHAnsi"/>
                <w:szCs w:val="16"/>
                <w:lang w:val="fr-FR"/>
              </w:rPr>
              <w:t xml:space="preserve"> (</w:t>
            </w:r>
            <w:proofErr w:type="spellStart"/>
            <w:r w:rsidRPr="00004022">
              <w:rPr>
                <w:rFonts w:cstheme="minorHAnsi"/>
                <w:b/>
                <w:szCs w:val="16"/>
                <w:lang w:val="fr-FR"/>
              </w:rPr>
              <w:t>CHdN</w:t>
            </w:r>
            <w:proofErr w:type="spellEnd"/>
            <w:r w:rsidRPr="00004022">
              <w:rPr>
                <w:rFonts w:cstheme="minorHAnsi"/>
                <w:szCs w:val="16"/>
                <w:lang w:val="fr-FR"/>
              </w:rPr>
              <w:t>) : sites de Wiltz et d’Ettelbruck</w:t>
            </w:r>
          </w:p>
          <w:p w14:paraId="553DB62C" w14:textId="77777777" w:rsidR="00537000" w:rsidRPr="00004022" w:rsidRDefault="00537000" w:rsidP="00592E43">
            <w:pPr>
              <w:pStyle w:val="ListParagraph"/>
              <w:numPr>
                <w:ilvl w:val="1"/>
                <w:numId w:val="60"/>
              </w:numPr>
              <w:ind w:left="336" w:hanging="141"/>
              <w:jc w:val="both"/>
              <w:rPr>
                <w:rFonts w:cstheme="minorHAnsi"/>
                <w:szCs w:val="16"/>
                <w:lang w:val="fr-FR"/>
              </w:rPr>
            </w:pPr>
            <w:r w:rsidRPr="00004022">
              <w:rPr>
                <w:rFonts w:cstheme="minorHAnsi"/>
                <w:b/>
                <w:szCs w:val="16"/>
                <w:lang w:val="fr-FR"/>
              </w:rPr>
              <w:t>Centre Hospitalier de Luxembourg</w:t>
            </w:r>
            <w:r w:rsidRPr="00004022">
              <w:rPr>
                <w:rFonts w:cstheme="minorHAnsi"/>
                <w:szCs w:val="16"/>
                <w:lang w:val="fr-FR"/>
              </w:rPr>
              <w:t xml:space="preserve"> (</w:t>
            </w:r>
            <w:r w:rsidRPr="00004022">
              <w:rPr>
                <w:rFonts w:cstheme="minorHAnsi"/>
                <w:b/>
                <w:szCs w:val="16"/>
                <w:lang w:val="fr-FR"/>
              </w:rPr>
              <w:t>CHL</w:t>
            </w:r>
            <w:r w:rsidRPr="00004022">
              <w:rPr>
                <w:rFonts w:cstheme="minorHAnsi"/>
                <w:szCs w:val="16"/>
                <w:lang w:val="fr-FR"/>
              </w:rPr>
              <w:t xml:space="preserve">) : site </w:t>
            </w:r>
            <w:proofErr w:type="spellStart"/>
            <w:r w:rsidRPr="00004022">
              <w:rPr>
                <w:rFonts w:cstheme="minorHAnsi"/>
                <w:szCs w:val="16"/>
                <w:lang w:val="fr-FR"/>
              </w:rPr>
              <w:t>Belair</w:t>
            </w:r>
            <w:proofErr w:type="spellEnd"/>
            <w:r w:rsidRPr="00004022">
              <w:rPr>
                <w:rFonts w:cstheme="minorHAnsi"/>
                <w:szCs w:val="16"/>
                <w:lang w:val="fr-FR"/>
              </w:rPr>
              <w:t xml:space="preserve"> avec le bâtiment Centre, le bâtiment Maternité, et le bâtiment </w:t>
            </w:r>
            <w:proofErr w:type="spellStart"/>
            <w:r w:rsidRPr="00004022">
              <w:rPr>
                <w:rFonts w:cstheme="minorHAnsi"/>
                <w:szCs w:val="16"/>
                <w:lang w:val="fr-FR"/>
              </w:rPr>
              <w:t>Kanner</w:t>
            </w:r>
            <w:r>
              <w:rPr>
                <w:rFonts w:cstheme="minorHAnsi"/>
                <w:szCs w:val="16"/>
                <w:lang w:val="fr-FR"/>
              </w:rPr>
              <w:t>k</w:t>
            </w:r>
            <w:r w:rsidRPr="00004022">
              <w:rPr>
                <w:rFonts w:cstheme="minorHAnsi"/>
                <w:szCs w:val="16"/>
                <w:lang w:val="fr-FR"/>
              </w:rPr>
              <w:t>linik</w:t>
            </w:r>
            <w:proofErr w:type="spellEnd"/>
            <w:r w:rsidRPr="00004022">
              <w:rPr>
                <w:rFonts w:cstheme="minorHAnsi"/>
                <w:szCs w:val="16"/>
                <w:lang w:val="fr-FR"/>
              </w:rPr>
              <w:t xml:space="preserve">, le site d’Eich et le site </w:t>
            </w:r>
            <w:proofErr w:type="spellStart"/>
            <w:r>
              <w:rPr>
                <w:rFonts w:cstheme="minorHAnsi"/>
                <w:szCs w:val="16"/>
                <w:lang w:val="fr-FR"/>
              </w:rPr>
              <w:t>Potaschberg</w:t>
            </w:r>
            <w:proofErr w:type="spellEnd"/>
            <w:r w:rsidRPr="00004022">
              <w:rPr>
                <w:rFonts w:cstheme="minorHAnsi"/>
                <w:szCs w:val="16"/>
                <w:lang w:val="fr-FR"/>
              </w:rPr>
              <w:t xml:space="preserve"> dédié à l’imagerie ambulatoire.</w:t>
            </w:r>
          </w:p>
          <w:p w14:paraId="3B829AC3" w14:textId="77777777" w:rsidR="00537000" w:rsidRPr="00004022" w:rsidRDefault="00537000" w:rsidP="00592E43">
            <w:pPr>
              <w:pStyle w:val="ListParagraph"/>
              <w:numPr>
                <w:ilvl w:val="1"/>
                <w:numId w:val="60"/>
              </w:numPr>
              <w:ind w:left="336" w:hanging="141"/>
              <w:jc w:val="both"/>
              <w:rPr>
                <w:rFonts w:cstheme="minorHAnsi"/>
                <w:szCs w:val="16"/>
                <w:lang w:val="fr-FR"/>
              </w:rPr>
            </w:pPr>
            <w:r w:rsidRPr="00004022">
              <w:rPr>
                <w:rFonts w:cstheme="minorHAnsi"/>
                <w:b/>
                <w:szCs w:val="16"/>
                <w:lang w:val="fr-FR"/>
              </w:rPr>
              <w:t>Hôpitaux Robert Schuman</w:t>
            </w:r>
            <w:r w:rsidRPr="00004022">
              <w:rPr>
                <w:rFonts w:cstheme="minorHAnsi"/>
                <w:szCs w:val="16"/>
                <w:lang w:val="fr-FR"/>
              </w:rPr>
              <w:t xml:space="preserve"> (</w:t>
            </w:r>
            <w:r w:rsidRPr="00004022">
              <w:rPr>
                <w:rFonts w:cstheme="minorHAnsi"/>
                <w:b/>
                <w:szCs w:val="16"/>
                <w:lang w:val="fr-FR"/>
              </w:rPr>
              <w:t>HRS</w:t>
            </w:r>
            <w:r w:rsidRPr="00004022">
              <w:rPr>
                <w:rFonts w:cstheme="minorHAnsi"/>
                <w:szCs w:val="16"/>
                <w:lang w:val="fr-FR"/>
              </w:rPr>
              <w:t xml:space="preserve">) : sites de l’Hôpital Kirchberg (HK), de la Clinique Bohler, de la </w:t>
            </w:r>
            <w:proofErr w:type="spellStart"/>
            <w:r w:rsidRPr="00004022">
              <w:rPr>
                <w:rFonts w:cstheme="minorHAnsi"/>
                <w:szCs w:val="16"/>
                <w:lang w:val="fr-FR"/>
              </w:rPr>
              <w:t>Zitha</w:t>
            </w:r>
            <w:r>
              <w:rPr>
                <w:rFonts w:cstheme="minorHAnsi"/>
                <w:szCs w:val="16"/>
                <w:lang w:val="fr-FR"/>
              </w:rPr>
              <w:t>k</w:t>
            </w:r>
            <w:r w:rsidRPr="00004022">
              <w:rPr>
                <w:rFonts w:cstheme="minorHAnsi"/>
                <w:szCs w:val="16"/>
                <w:lang w:val="fr-FR"/>
              </w:rPr>
              <w:t>linik</w:t>
            </w:r>
            <w:proofErr w:type="spellEnd"/>
            <w:r w:rsidRPr="00004022">
              <w:rPr>
                <w:rFonts w:cstheme="minorHAnsi"/>
                <w:szCs w:val="16"/>
                <w:lang w:val="fr-FR"/>
              </w:rPr>
              <w:t xml:space="preserve"> (ZITHA), de la Clinique Ste Marie (CSM) (fusion de la ZITHA avec les autres sites en 2017).</w:t>
            </w:r>
          </w:p>
          <w:p w14:paraId="1C781072" w14:textId="77777777" w:rsidR="00537000" w:rsidRPr="00004022" w:rsidRDefault="00537000" w:rsidP="00592E43">
            <w:pPr>
              <w:pStyle w:val="ListParagraph"/>
              <w:numPr>
                <w:ilvl w:val="1"/>
                <w:numId w:val="60"/>
              </w:numPr>
              <w:ind w:left="336" w:hanging="141"/>
              <w:jc w:val="both"/>
              <w:rPr>
                <w:rFonts w:cstheme="minorHAnsi"/>
                <w:szCs w:val="16"/>
                <w:lang w:val="fr-FR"/>
              </w:rPr>
            </w:pPr>
            <w:r w:rsidRPr="00004022">
              <w:rPr>
                <w:rFonts w:cstheme="minorHAnsi"/>
                <w:szCs w:val="16"/>
                <w:lang w:val="fr-FR"/>
              </w:rPr>
              <w:t xml:space="preserve">Pour les années </w:t>
            </w:r>
            <w:r>
              <w:rPr>
                <w:rFonts w:cstheme="minorHAnsi"/>
                <w:szCs w:val="16"/>
                <w:lang w:val="fr-FR"/>
              </w:rPr>
              <w:t>2014</w:t>
            </w:r>
            <w:r w:rsidRPr="00004022">
              <w:rPr>
                <w:rFonts w:cstheme="minorHAnsi"/>
                <w:szCs w:val="16"/>
                <w:lang w:val="fr-FR"/>
              </w:rPr>
              <w:t xml:space="preserve"> à 2016, les données d’activité du Centre hospitalier du Kirchberg (CHK : HK et Bohler), de la ZITHA et de la CSM ont été présentées séparément. Des sommes ont toutefois été calculées pour le groupe HRS sur cette période mais sont présentées entre parenthèses car il s’agit de sommes fictives à interpréter avec précaution puisque la fusion des établissements constituant les HRS n’avait pas encore eu lieu.</w:t>
            </w:r>
          </w:p>
          <w:p w14:paraId="451BA494" w14:textId="77777777" w:rsidR="00537000" w:rsidRPr="00004022" w:rsidRDefault="00537000" w:rsidP="00592E43">
            <w:pPr>
              <w:pStyle w:val="ListParagraph"/>
              <w:numPr>
                <w:ilvl w:val="1"/>
                <w:numId w:val="60"/>
              </w:numPr>
              <w:ind w:left="336" w:hanging="141"/>
              <w:jc w:val="both"/>
              <w:rPr>
                <w:rFonts w:cstheme="minorHAnsi"/>
                <w:szCs w:val="16"/>
                <w:lang w:val="fr-FR"/>
              </w:rPr>
            </w:pPr>
            <w:r w:rsidRPr="00004022">
              <w:rPr>
                <w:rFonts w:cstheme="minorHAnsi"/>
                <w:szCs w:val="16"/>
                <w:lang w:val="fr-FR"/>
              </w:rPr>
              <w:t xml:space="preserve">Pour les années 2017 à </w:t>
            </w:r>
            <w:r>
              <w:rPr>
                <w:rFonts w:cstheme="minorHAnsi"/>
                <w:szCs w:val="16"/>
                <w:lang w:val="fr-FR"/>
              </w:rPr>
              <w:t>2024</w:t>
            </w:r>
            <w:r w:rsidRPr="00004022">
              <w:rPr>
                <w:rFonts w:cstheme="minorHAnsi"/>
                <w:szCs w:val="16"/>
                <w:lang w:val="fr-FR"/>
              </w:rPr>
              <w:t>, les données du groupe HRS sont présentées.</w:t>
            </w:r>
          </w:p>
          <w:p w14:paraId="5085A053" w14:textId="77777777" w:rsidR="00537000" w:rsidRPr="00004022" w:rsidRDefault="00537000" w:rsidP="00592E43">
            <w:pPr>
              <w:pStyle w:val="ListParagraph"/>
              <w:numPr>
                <w:ilvl w:val="1"/>
                <w:numId w:val="60"/>
              </w:numPr>
              <w:ind w:left="336" w:hanging="141"/>
              <w:jc w:val="both"/>
              <w:rPr>
                <w:rFonts w:cstheme="minorHAnsi"/>
                <w:szCs w:val="16"/>
                <w:lang w:val="de-DE"/>
              </w:rPr>
            </w:pPr>
            <w:proofErr w:type="spellStart"/>
            <w:r w:rsidRPr="00004022">
              <w:rPr>
                <w:rFonts w:cstheme="minorHAnsi"/>
                <w:b/>
                <w:szCs w:val="16"/>
                <w:lang w:val="de-DE"/>
              </w:rPr>
              <w:t>Centre</w:t>
            </w:r>
            <w:proofErr w:type="spellEnd"/>
            <w:r w:rsidRPr="00004022">
              <w:rPr>
                <w:rFonts w:cstheme="minorHAnsi"/>
                <w:b/>
                <w:szCs w:val="16"/>
                <w:lang w:val="de-DE"/>
              </w:rPr>
              <w:t xml:space="preserve"> </w:t>
            </w:r>
            <w:proofErr w:type="spellStart"/>
            <w:r w:rsidRPr="00004022">
              <w:rPr>
                <w:rFonts w:cstheme="minorHAnsi"/>
                <w:b/>
                <w:szCs w:val="16"/>
                <w:lang w:val="de-DE"/>
              </w:rPr>
              <w:t>Hospitalier</w:t>
            </w:r>
            <w:proofErr w:type="spellEnd"/>
            <w:r w:rsidRPr="00004022">
              <w:rPr>
                <w:rFonts w:cstheme="minorHAnsi"/>
                <w:b/>
                <w:szCs w:val="16"/>
                <w:lang w:val="de-DE"/>
              </w:rPr>
              <w:t xml:space="preserve"> Emile Mayrisch</w:t>
            </w:r>
            <w:r w:rsidRPr="00004022">
              <w:rPr>
                <w:rFonts w:cstheme="minorHAnsi"/>
                <w:szCs w:val="16"/>
                <w:lang w:val="de-DE"/>
              </w:rPr>
              <w:t xml:space="preserve"> (</w:t>
            </w:r>
            <w:r w:rsidRPr="00004022">
              <w:rPr>
                <w:rFonts w:cstheme="minorHAnsi"/>
                <w:b/>
                <w:szCs w:val="16"/>
                <w:lang w:val="de-DE"/>
              </w:rPr>
              <w:t>CHEM</w:t>
            </w:r>
            <w:r w:rsidRPr="00004022">
              <w:rPr>
                <w:rFonts w:cstheme="minorHAnsi"/>
                <w:szCs w:val="16"/>
                <w:lang w:val="de-DE"/>
              </w:rPr>
              <w:t xml:space="preserve">): </w:t>
            </w:r>
            <w:proofErr w:type="spellStart"/>
            <w:r w:rsidRPr="00004022">
              <w:rPr>
                <w:rFonts w:cstheme="minorHAnsi"/>
                <w:szCs w:val="16"/>
                <w:lang w:val="de-DE"/>
              </w:rPr>
              <w:t>sites</w:t>
            </w:r>
            <w:proofErr w:type="spellEnd"/>
            <w:r w:rsidRPr="00004022">
              <w:rPr>
                <w:rFonts w:cstheme="minorHAnsi"/>
                <w:szCs w:val="16"/>
                <w:lang w:val="de-DE"/>
              </w:rPr>
              <w:t xml:space="preserve"> </w:t>
            </w:r>
            <w:proofErr w:type="spellStart"/>
            <w:r w:rsidRPr="00004022">
              <w:rPr>
                <w:rFonts w:cstheme="minorHAnsi"/>
                <w:szCs w:val="16"/>
                <w:lang w:val="de-DE"/>
              </w:rPr>
              <w:t>d’Esch</w:t>
            </w:r>
            <w:proofErr w:type="spellEnd"/>
            <w:r w:rsidRPr="00004022">
              <w:rPr>
                <w:rFonts w:cstheme="minorHAnsi"/>
                <w:szCs w:val="16"/>
                <w:lang w:val="de-DE"/>
              </w:rPr>
              <w:t>-</w:t>
            </w:r>
            <w:proofErr w:type="spellStart"/>
            <w:r w:rsidRPr="00004022">
              <w:rPr>
                <w:rFonts w:cstheme="minorHAnsi"/>
                <w:szCs w:val="16"/>
                <w:lang w:val="de-DE"/>
              </w:rPr>
              <w:t>sur</w:t>
            </w:r>
            <w:proofErr w:type="spellEnd"/>
            <w:r w:rsidRPr="00004022">
              <w:rPr>
                <w:rFonts w:cstheme="minorHAnsi"/>
                <w:szCs w:val="16"/>
                <w:lang w:val="de-DE"/>
              </w:rPr>
              <w:t>-Alzette, Dudelange et Niederkorn</w:t>
            </w:r>
          </w:p>
          <w:p w14:paraId="316472D6" w14:textId="77777777" w:rsidR="00537000" w:rsidRPr="00004022" w:rsidRDefault="00537000" w:rsidP="00592E43">
            <w:pPr>
              <w:pStyle w:val="ListParagraph"/>
              <w:ind w:left="360"/>
              <w:jc w:val="both"/>
              <w:rPr>
                <w:rFonts w:cstheme="minorHAnsi"/>
                <w:szCs w:val="16"/>
                <w:lang w:val="de-DE"/>
              </w:rPr>
            </w:pPr>
          </w:p>
          <w:p w14:paraId="759637AF" w14:textId="77777777" w:rsidR="00537000" w:rsidRPr="00004022" w:rsidRDefault="00537000" w:rsidP="00592E43">
            <w:pPr>
              <w:jc w:val="both"/>
              <w:rPr>
                <w:rFonts w:cstheme="minorHAnsi"/>
                <w:szCs w:val="16"/>
                <w:lang w:val="fr-FR"/>
              </w:rPr>
            </w:pPr>
            <w:r w:rsidRPr="00004022">
              <w:rPr>
                <w:rFonts w:cstheme="minorHAnsi"/>
                <w:szCs w:val="16"/>
                <w:lang w:val="fr-FR"/>
              </w:rPr>
              <w:t>*Un hôpital est défini comme tout établissement ayant principalement une mission de diagnostic, de surveillance et de traitement relevant de la médecine, de la chirurgie ou de l’obstétrique ainsi que de soins préventifs et palliatifs et disposant de services dans lesquels les patients sont admis.</w:t>
            </w:r>
          </w:p>
        </w:tc>
      </w:tr>
      <w:tr w:rsidR="00537000" w:rsidRPr="00F92F9D" w14:paraId="5DE8FF5D" w14:textId="77777777" w:rsidTr="00592E43">
        <w:tc>
          <w:tcPr>
            <w:tcW w:w="1471" w:type="dxa"/>
            <w:vMerge/>
            <w:shd w:val="clear" w:color="auto" w:fill="B7D4EF" w:themeFill="text2" w:themeFillTint="33"/>
          </w:tcPr>
          <w:p w14:paraId="0978B591" w14:textId="77777777" w:rsidR="00537000" w:rsidRPr="00E1451F" w:rsidRDefault="00537000" w:rsidP="00592E43">
            <w:pPr>
              <w:jc w:val="both"/>
              <w:rPr>
                <w:rFonts w:eastAsia="Times New Roman" w:cstheme="minorHAnsi"/>
                <w:color w:val="196B24" w:themeColor="accent3"/>
                <w:szCs w:val="20"/>
                <w:lang w:val="fr-FR"/>
              </w:rPr>
            </w:pPr>
          </w:p>
        </w:tc>
        <w:tc>
          <w:tcPr>
            <w:tcW w:w="8451" w:type="dxa"/>
          </w:tcPr>
          <w:p w14:paraId="76DA2E79" w14:textId="77777777" w:rsidR="00537000" w:rsidRPr="00004022" w:rsidRDefault="00537000" w:rsidP="00592E43">
            <w:pPr>
              <w:jc w:val="both"/>
              <w:rPr>
                <w:rFonts w:eastAsia="Times New Roman" w:cstheme="minorHAnsi"/>
                <w:szCs w:val="20"/>
                <w:lang w:val="fr-FR"/>
              </w:rPr>
            </w:pPr>
            <w:r w:rsidRPr="00004022">
              <w:rPr>
                <w:rFonts w:eastAsia="Times New Roman" w:cstheme="minorHAnsi"/>
                <w:b/>
                <w:szCs w:val="20"/>
                <w:u w:val="single"/>
                <w:lang w:val="fr-FR"/>
              </w:rPr>
              <w:t>Hospitalisations concernées</w:t>
            </w:r>
            <w:r w:rsidRPr="00004022">
              <w:rPr>
                <w:rFonts w:eastAsia="Times New Roman" w:cstheme="minorHAnsi"/>
                <w:szCs w:val="20"/>
                <w:lang w:val="fr-FR"/>
              </w:rPr>
              <w:t xml:space="preserve"> : </w:t>
            </w:r>
          </w:p>
          <w:p w14:paraId="2B35DE01" w14:textId="77777777" w:rsidR="00537000" w:rsidRPr="00004022" w:rsidRDefault="00537000" w:rsidP="00592E43">
            <w:pPr>
              <w:pStyle w:val="ListParagraph"/>
              <w:ind w:left="360"/>
              <w:jc w:val="both"/>
              <w:rPr>
                <w:rFonts w:cstheme="minorHAnsi"/>
                <w:szCs w:val="20"/>
                <w:lang w:val="fr-FR"/>
              </w:rPr>
            </w:pPr>
          </w:p>
          <w:p w14:paraId="4C92A48E" w14:textId="77777777" w:rsidR="00537000" w:rsidRPr="00004022" w:rsidRDefault="00537000" w:rsidP="00592E43">
            <w:pPr>
              <w:jc w:val="both"/>
              <w:rPr>
                <w:rFonts w:cstheme="minorHAnsi"/>
                <w:szCs w:val="20"/>
                <w:lang w:val="fr-FR"/>
              </w:rPr>
            </w:pPr>
            <w:r w:rsidRPr="00004022">
              <w:rPr>
                <w:rFonts w:cstheme="minorHAnsi"/>
                <w:szCs w:val="20"/>
                <w:lang w:val="fr-FR"/>
              </w:rPr>
              <w:t>Ce</w:t>
            </w:r>
            <w:r w:rsidRPr="00004022">
              <w:rPr>
                <w:rFonts w:cstheme="minorHAnsi"/>
                <w:b/>
                <w:szCs w:val="20"/>
                <w:lang w:val="fr-FR"/>
              </w:rPr>
              <w:t xml:space="preserve"> </w:t>
            </w:r>
            <w:r w:rsidRPr="00004022">
              <w:rPr>
                <w:rFonts w:cstheme="minorHAnsi"/>
                <w:szCs w:val="20"/>
                <w:lang w:val="fr-FR"/>
              </w:rPr>
              <w:t xml:space="preserve">sont les </w:t>
            </w:r>
            <w:r w:rsidRPr="00004022">
              <w:rPr>
                <w:rFonts w:cstheme="minorHAnsi"/>
                <w:b/>
                <w:szCs w:val="20"/>
                <w:lang w:val="fr-FR"/>
              </w:rPr>
              <w:t>hospitalisations aiguës en unités de soins normaux et intensifs</w:t>
            </w:r>
            <w:r w:rsidRPr="00004022">
              <w:rPr>
                <w:rFonts w:cstheme="minorHAnsi"/>
                <w:szCs w:val="20"/>
                <w:lang w:val="fr-FR"/>
              </w:rPr>
              <w:t xml:space="preserve"> (l’activité de rééducation n’est donc pas incluse) </w:t>
            </w:r>
          </w:p>
          <w:p w14:paraId="30BFAD69" w14:textId="77777777" w:rsidR="00537000" w:rsidRPr="00004022" w:rsidRDefault="00537000" w:rsidP="00592E43">
            <w:pPr>
              <w:pStyle w:val="ListParagraph"/>
              <w:numPr>
                <w:ilvl w:val="1"/>
                <w:numId w:val="4"/>
              </w:numPr>
              <w:ind w:left="360" w:hanging="165"/>
              <w:jc w:val="both"/>
              <w:rPr>
                <w:rFonts w:cstheme="minorHAnsi"/>
                <w:szCs w:val="16"/>
                <w:lang w:val="fr-FR"/>
              </w:rPr>
            </w:pPr>
            <w:r w:rsidRPr="00004022">
              <w:rPr>
                <w:rFonts w:cstheme="minorHAnsi"/>
                <w:szCs w:val="16"/>
                <w:lang w:val="fr-FR"/>
              </w:rPr>
              <w:t xml:space="preserve">Les soins normaux et intensifs se distinguent notamment par la nécessité ou non de dotation spécifique en personnel et la nécessité d’équipements pour la surveillance intensive des patients. </w:t>
            </w:r>
          </w:p>
          <w:p w14:paraId="446C561B" w14:textId="77777777" w:rsidR="00537000" w:rsidRPr="00004022" w:rsidRDefault="00537000" w:rsidP="00592E43">
            <w:pPr>
              <w:pStyle w:val="ListParagraph"/>
              <w:ind w:left="357"/>
              <w:jc w:val="both"/>
              <w:rPr>
                <w:rFonts w:cstheme="minorHAnsi"/>
                <w:szCs w:val="16"/>
                <w:lang w:val="fr-FR"/>
              </w:rPr>
            </w:pPr>
            <w:r w:rsidRPr="00004022">
              <w:rPr>
                <w:rFonts w:cstheme="minorHAnsi"/>
                <w:szCs w:val="16"/>
                <w:lang w:val="fr-FR"/>
              </w:rPr>
              <w:t>Les soins normaux incluent l’activité de maternité et les soins palliatifs réalisés dans les établissements aigus (les données actuelles ne permettent pas d’exclure l’activité de soins palliatifs des soins aigus réalisés dans les centres hospitaliers).</w:t>
            </w:r>
          </w:p>
          <w:p w14:paraId="0B303629" w14:textId="77777777" w:rsidR="00537000" w:rsidRDefault="00537000" w:rsidP="00592E43">
            <w:pPr>
              <w:jc w:val="both"/>
              <w:rPr>
                <w:rFonts w:cstheme="minorHAnsi"/>
                <w:szCs w:val="16"/>
                <w:u w:val="single"/>
                <w:lang w:val="fr-FR"/>
              </w:rPr>
            </w:pPr>
          </w:p>
          <w:p w14:paraId="539A6908" w14:textId="77777777" w:rsidR="00537000" w:rsidRPr="00004022" w:rsidRDefault="00537000" w:rsidP="00592E43">
            <w:pPr>
              <w:jc w:val="both"/>
              <w:rPr>
                <w:rFonts w:cstheme="minorHAnsi"/>
                <w:szCs w:val="16"/>
                <w:lang w:val="fr-FR"/>
              </w:rPr>
            </w:pPr>
            <w:r w:rsidRPr="00004022">
              <w:rPr>
                <w:rFonts w:cstheme="minorHAnsi"/>
                <w:szCs w:val="16"/>
                <w:u w:val="single"/>
                <w:lang w:val="fr-FR"/>
              </w:rPr>
              <w:t>Exclusions</w:t>
            </w:r>
            <w:r w:rsidRPr="00004022">
              <w:rPr>
                <w:rFonts w:cstheme="minorHAnsi"/>
                <w:szCs w:val="16"/>
                <w:lang w:val="fr-FR"/>
              </w:rPr>
              <w:t> :</w:t>
            </w:r>
          </w:p>
          <w:p w14:paraId="65BC4334" w14:textId="77777777" w:rsidR="00537000" w:rsidRPr="00004022" w:rsidRDefault="00537000" w:rsidP="00592E43">
            <w:pPr>
              <w:pStyle w:val="ListParagraph"/>
              <w:numPr>
                <w:ilvl w:val="1"/>
                <w:numId w:val="4"/>
              </w:numPr>
              <w:ind w:left="360" w:hanging="165"/>
              <w:jc w:val="both"/>
              <w:rPr>
                <w:rFonts w:eastAsia="Times New Roman" w:cstheme="minorHAnsi"/>
                <w:szCs w:val="20"/>
                <w:lang w:val="fr-FR"/>
              </w:rPr>
            </w:pPr>
            <w:r w:rsidRPr="00004022">
              <w:rPr>
                <w:rFonts w:cstheme="minorHAnsi"/>
                <w:szCs w:val="16"/>
                <w:lang w:val="fr-FR"/>
              </w:rPr>
              <w:t>Pour les nouveau-nés en bonne santé, le séjour normal en maternité après la naissance n’est pas considéré comme une hospitalisation.</w:t>
            </w:r>
          </w:p>
          <w:p w14:paraId="026AFFEE" w14:textId="77777777" w:rsidR="00537000" w:rsidRPr="00004022" w:rsidRDefault="00537000" w:rsidP="00592E43">
            <w:pPr>
              <w:pStyle w:val="ListParagraph"/>
              <w:numPr>
                <w:ilvl w:val="1"/>
                <w:numId w:val="4"/>
              </w:numPr>
              <w:ind w:left="360" w:hanging="165"/>
              <w:jc w:val="both"/>
              <w:rPr>
                <w:rFonts w:eastAsia="Times New Roman" w:cstheme="minorHAnsi"/>
                <w:szCs w:val="20"/>
                <w:lang w:val="fr-FR"/>
              </w:rPr>
            </w:pPr>
            <w:r w:rsidRPr="00004022">
              <w:rPr>
                <w:rFonts w:cstheme="minorHAnsi"/>
                <w:szCs w:val="16"/>
                <w:lang w:val="fr-FR"/>
              </w:rPr>
              <w:t>L’activité des services de rééducation des centres hospitaliers (</w:t>
            </w:r>
            <w:proofErr w:type="spellStart"/>
            <w:r w:rsidRPr="00004022">
              <w:rPr>
                <w:rFonts w:cstheme="minorHAnsi"/>
                <w:szCs w:val="16"/>
                <w:lang w:val="fr-FR"/>
              </w:rPr>
              <w:t>CHdN</w:t>
            </w:r>
            <w:proofErr w:type="spellEnd"/>
            <w:r w:rsidRPr="00004022">
              <w:rPr>
                <w:rFonts w:cstheme="minorHAnsi"/>
                <w:szCs w:val="16"/>
                <w:lang w:val="fr-FR"/>
              </w:rPr>
              <w:t>, ZITHA, CHEM) n’est pas incluse (elle est étudiée séparément). Cela peut notamment induire une sous-estimation de l’âge moyen des patients pris en charge par l’hôpital dans la mesure où la moyenne d’âge des services de rééducation gériatrique est élevée.</w:t>
            </w:r>
          </w:p>
        </w:tc>
      </w:tr>
      <w:tr w:rsidR="00537000" w:rsidRPr="00F92F9D" w14:paraId="28CD639A" w14:textId="77777777" w:rsidTr="00592E43">
        <w:tc>
          <w:tcPr>
            <w:tcW w:w="1471" w:type="dxa"/>
            <w:shd w:val="clear" w:color="auto" w:fill="B7D4EF" w:themeFill="text2" w:themeFillTint="33"/>
          </w:tcPr>
          <w:p w14:paraId="4E996B94"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b/>
                <w:color w:val="196B24" w:themeColor="accent3"/>
                <w:szCs w:val="20"/>
                <w:lang w:val="fr-FR"/>
              </w:rPr>
              <w:t>Établissements hospitaliers spécialisés ayant des services avec des lits aigus</w:t>
            </w:r>
          </w:p>
          <w:p w14:paraId="6EC0E09C"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i/>
                <w:color w:val="196B24" w:themeColor="accent3"/>
                <w:sz w:val="16"/>
                <w:szCs w:val="20"/>
                <w:lang w:val="fr-FR"/>
              </w:rPr>
              <w:t>(</w:t>
            </w:r>
            <w:proofErr w:type="gramStart"/>
            <w:r w:rsidRPr="00E1451F">
              <w:rPr>
                <w:rFonts w:eastAsia="Times New Roman" w:cstheme="minorHAnsi"/>
                <w:i/>
                <w:color w:val="196B24" w:themeColor="accent3"/>
                <w:sz w:val="16"/>
                <w:szCs w:val="20"/>
                <w:lang w:val="fr-FR"/>
              </w:rPr>
              <w:t>art</w:t>
            </w:r>
            <w:proofErr w:type="gramEnd"/>
            <w:r w:rsidRPr="00E1451F">
              <w:rPr>
                <w:rFonts w:eastAsia="Times New Roman" w:cstheme="minorHAnsi"/>
                <w:i/>
                <w:color w:val="196B24" w:themeColor="accent3"/>
                <w:sz w:val="16"/>
                <w:szCs w:val="20"/>
                <w:lang w:val="fr-FR"/>
              </w:rPr>
              <w:t xml:space="preserve"> 1</w:t>
            </w:r>
            <w:r w:rsidRPr="00E1451F">
              <w:rPr>
                <w:rFonts w:eastAsia="Times New Roman" w:cstheme="minorHAnsi"/>
                <w:i/>
                <w:color w:val="196B24" w:themeColor="accent3"/>
                <w:sz w:val="16"/>
                <w:szCs w:val="20"/>
                <w:vertAlign w:val="superscript"/>
                <w:lang w:val="fr-FR"/>
              </w:rPr>
              <w:t xml:space="preserve">er </w:t>
            </w:r>
            <w:r w:rsidRPr="00E1451F">
              <w:rPr>
                <w:rFonts w:eastAsia="Times New Roman" w:cstheme="minorHAnsi"/>
                <w:i/>
                <w:color w:val="196B24" w:themeColor="accent3"/>
                <w:sz w:val="16"/>
                <w:szCs w:val="20"/>
                <w:lang w:val="fr-FR"/>
              </w:rPr>
              <w:t>alinéa 3.3)</w:t>
            </w:r>
          </w:p>
        </w:tc>
        <w:tc>
          <w:tcPr>
            <w:tcW w:w="8451" w:type="dxa"/>
          </w:tcPr>
          <w:p w14:paraId="7875A453" w14:textId="77777777" w:rsidR="00537000" w:rsidRPr="00004022" w:rsidRDefault="00537000" w:rsidP="00592E43">
            <w:pPr>
              <w:jc w:val="both"/>
              <w:rPr>
                <w:rFonts w:cstheme="minorHAnsi"/>
                <w:szCs w:val="20"/>
                <w:lang w:val="fr-FR"/>
              </w:rPr>
            </w:pPr>
            <w:r w:rsidRPr="00004022">
              <w:rPr>
                <w:rFonts w:cstheme="minorHAnsi"/>
                <w:szCs w:val="20"/>
                <w:lang w:val="fr-FR"/>
              </w:rPr>
              <w:t>Un établissement hospitalier spécialisé est tout hôpital qui répond aux besoins spécifiques de certaines prises en charge diagnostiques et thérapeutiques ou à des affections particulières.</w:t>
            </w:r>
          </w:p>
          <w:p w14:paraId="542DF478" w14:textId="77777777" w:rsidR="00537000" w:rsidRPr="00004022" w:rsidRDefault="00537000" w:rsidP="00592E43">
            <w:pPr>
              <w:jc w:val="both"/>
              <w:rPr>
                <w:rFonts w:cstheme="minorHAnsi"/>
                <w:szCs w:val="20"/>
                <w:lang w:val="fr-FR"/>
              </w:rPr>
            </w:pPr>
          </w:p>
          <w:p w14:paraId="0208843A" w14:textId="77777777" w:rsidR="00537000" w:rsidRPr="00004022" w:rsidRDefault="00537000" w:rsidP="00592E43">
            <w:pPr>
              <w:jc w:val="both"/>
              <w:rPr>
                <w:rFonts w:cstheme="minorHAnsi"/>
                <w:szCs w:val="20"/>
                <w:lang w:val="fr-FR"/>
              </w:rPr>
            </w:pPr>
            <w:r w:rsidRPr="00004022">
              <w:rPr>
                <w:rFonts w:cstheme="minorHAnsi"/>
                <w:szCs w:val="20"/>
                <w:lang w:val="fr-FR"/>
              </w:rPr>
              <w:t xml:space="preserve">Les deux hôpitaux classés “établissements hospitaliers spécialisés“ selon la loi hospitalière </w:t>
            </w:r>
            <w:r>
              <w:rPr>
                <w:rFonts w:cstheme="minorHAnsi"/>
                <w:szCs w:val="20"/>
                <w:lang w:val="fr-FR"/>
              </w:rPr>
              <w:t xml:space="preserve">de </w:t>
            </w:r>
            <w:r w:rsidRPr="00004022">
              <w:rPr>
                <w:rFonts w:cstheme="minorHAnsi"/>
                <w:szCs w:val="20"/>
                <w:lang w:val="fr-FR"/>
              </w:rPr>
              <w:t xml:space="preserve">2018 et ayant des services hospitaliers avec des lits aigus sont les suivants : </w:t>
            </w:r>
          </w:p>
          <w:p w14:paraId="1BC55660" w14:textId="77777777" w:rsidR="00537000" w:rsidRPr="00004022" w:rsidRDefault="00537000" w:rsidP="00592E43">
            <w:pPr>
              <w:pStyle w:val="ListParagraph"/>
              <w:numPr>
                <w:ilvl w:val="1"/>
                <w:numId w:val="4"/>
              </w:numPr>
              <w:ind w:left="336" w:hanging="142"/>
              <w:jc w:val="both"/>
              <w:rPr>
                <w:rFonts w:cstheme="minorHAnsi"/>
                <w:szCs w:val="20"/>
                <w:lang w:val="fr-FR"/>
              </w:rPr>
            </w:pPr>
            <w:r w:rsidRPr="00004022">
              <w:rPr>
                <w:rFonts w:cstheme="minorHAnsi"/>
                <w:b/>
                <w:szCs w:val="20"/>
                <w:lang w:val="fr-FR"/>
              </w:rPr>
              <w:t>Institut National de Chirurgie Cardiaque et de Cardiologie Interventionnelle</w:t>
            </w:r>
            <w:r w:rsidRPr="00004022">
              <w:rPr>
                <w:rFonts w:cstheme="minorHAnsi"/>
                <w:szCs w:val="20"/>
                <w:lang w:val="fr-FR"/>
              </w:rPr>
              <w:t xml:space="preserve"> (</w:t>
            </w:r>
            <w:r w:rsidRPr="00004022">
              <w:rPr>
                <w:rFonts w:cstheme="minorHAnsi"/>
                <w:b/>
                <w:szCs w:val="20"/>
                <w:lang w:val="fr-FR"/>
              </w:rPr>
              <w:t>INCCI</w:t>
            </w:r>
            <w:r w:rsidRPr="00004022">
              <w:rPr>
                <w:rFonts w:cstheme="minorHAnsi"/>
                <w:szCs w:val="20"/>
                <w:lang w:val="fr-FR"/>
              </w:rPr>
              <w:t xml:space="preserve">) </w:t>
            </w:r>
          </w:p>
          <w:p w14:paraId="7C8F6848" w14:textId="77777777" w:rsidR="00537000" w:rsidRPr="00004022" w:rsidRDefault="00537000" w:rsidP="00592E43">
            <w:pPr>
              <w:pStyle w:val="ListParagraph"/>
              <w:numPr>
                <w:ilvl w:val="1"/>
                <w:numId w:val="4"/>
              </w:numPr>
              <w:ind w:left="336" w:hanging="142"/>
              <w:jc w:val="both"/>
              <w:rPr>
                <w:rFonts w:cstheme="minorHAnsi"/>
                <w:szCs w:val="20"/>
                <w:lang w:val="fr-FR"/>
              </w:rPr>
            </w:pPr>
            <w:r w:rsidRPr="00004022">
              <w:rPr>
                <w:rFonts w:cstheme="minorHAnsi"/>
                <w:b/>
                <w:szCs w:val="20"/>
                <w:lang w:val="fr-FR"/>
              </w:rPr>
              <w:t xml:space="preserve">Centre National de Radiothérapie François </w:t>
            </w:r>
            <w:proofErr w:type="spellStart"/>
            <w:r w:rsidRPr="00004022">
              <w:rPr>
                <w:rFonts w:cstheme="minorHAnsi"/>
                <w:b/>
                <w:szCs w:val="20"/>
                <w:lang w:val="fr-FR"/>
              </w:rPr>
              <w:t>Baclesse</w:t>
            </w:r>
            <w:proofErr w:type="spellEnd"/>
            <w:r w:rsidRPr="00004022">
              <w:rPr>
                <w:rFonts w:cstheme="minorHAnsi"/>
                <w:szCs w:val="20"/>
                <w:lang w:val="fr-FR"/>
              </w:rPr>
              <w:t xml:space="preserve"> (</w:t>
            </w:r>
            <w:r w:rsidRPr="00004022">
              <w:rPr>
                <w:rFonts w:cstheme="minorHAnsi"/>
                <w:b/>
                <w:szCs w:val="20"/>
                <w:lang w:val="fr-FR"/>
              </w:rPr>
              <w:t>CFB</w:t>
            </w:r>
            <w:r w:rsidRPr="00004022">
              <w:rPr>
                <w:rFonts w:cstheme="minorHAnsi"/>
                <w:szCs w:val="20"/>
                <w:lang w:val="fr-FR"/>
              </w:rPr>
              <w:t>)</w:t>
            </w:r>
          </w:p>
          <w:p w14:paraId="24A086F9" w14:textId="77777777" w:rsidR="00537000" w:rsidRPr="00004022" w:rsidRDefault="00537000" w:rsidP="00592E43">
            <w:pPr>
              <w:pStyle w:val="ListParagraph"/>
              <w:ind w:left="1080"/>
              <w:jc w:val="both"/>
              <w:rPr>
                <w:rFonts w:cstheme="minorHAnsi"/>
                <w:szCs w:val="20"/>
                <w:lang w:val="fr-FR"/>
              </w:rPr>
            </w:pPr>
          </w:p>
          <w:p w14:paraId="3D66B8D4" w14:textId="77777777" w:rsidR="00537000" w:rsidRPr="00004022" w:rsidRDefault="00537000" w:rsidP="00592E43">
            <w:pPr>
              <w:pStyle w:val="ListParagraph"/>
              <w:ind w:left="0"/>
              <w:jc w:val="both"/>
              <w:rPr>
                <w:rFonts w:eastAsia="Times New Roman" w:cstheme="minorHAnsi"/>
                <w:szCs w:val="20"/>
                <w:lang w:val="fr-FR"/>
              </w:rPr>
            </w:pPr>
            <w:r w:rsidRPr="00004022">
              <w:rPr>
                <w:rFonts w:cstheme="minorHAnsi"/>
                <w:szCs w:val="20"/>
                <w:lang w:val="fr-FR"/>
              </w:rPr>
              <w:t>Ils font l’objet d’une présentation spécifique compte tenu de leur activité spécialisée et de leur capacité d’accueil réduite par rapport aux centres hospitaliers.</w:t>
            </w:r>
          </w:p>
        </w:tc>
      </w:tr>
      <w:tr w:rsidR="00537000" w:rsidRPr="00F92F9D" w14:paraId="30E11ADF" w14:textId="77777777" w:rsidTr="00592E43">
        <w:tc>
          <w:tcPr>
            <w:tcW w:w="1471" w:type="dxa"/>
            <w:shd w:val="clear" w:color="auto" w:fill="B7D4EF" w:themeFill="text2" w:themeFillTint="33"/>
          </w:tcPr>
          <w:p w14:paraId="6A72C277"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b/>
                <w:color w:val="196B24" w:themeColor="accent3"/>
                <w:szCs w:val="20"/>
                <w:lang w:val="fr-FR"/>
              </w:rPr>
              <w:t>Établissements hospitaliers ayant des services avec des lits de moyen séjour et de longue durée</w:t>
            </w:r>
          </w:p>
          <w:p w14:paraId="4F9B3FEC"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i/>
                <w:color w:val="196B24" w:themeColor="accent3"/>
                <w:sz w:val="16"/>
                <w:szCs w:val="20"/>
                <w:lang w:val="fr-FR"/>
              </w:rPr>
              <w:t>(</w:t>
            </w:r>
            <w:proofErr w:type="gramStart"/>
            <w:r w:rsidRPr="00E1451F">
              <w:rPr>
                <w:rFonts w:eastAsia="Times New Roman" w:cstheme="minorHAnsi"/>
                <w:i/>
                <w:color w:val="196B24" w:themeColor="accent3"/>
                <w:sz w:val="16"/>
                <w:szCs w:val="20"/>
                <w:lang w:val="fr-FR"/>
              </w:rPr>
              <w:t>art</w:t>
            </w:r>
            <w:proofErr w:type="gramEnd"/>
            <w:r w:rsidRPr="00E1451F">
              <w:rPr>
                <w:rFonts w:eastAsia="Times New Roman" w:cstheme="minorHAnsi"/>
                <w:i/>
                <w:color w:val="196B24" w:themeColor="accent3"/>
                <w:sz w:val="16"/>
                <w:szCs w:val="20"/>
                <w:lang w:val="fr-FR"/>
              </w:rPr>
              <w:t xml:space="preserve"> 1</w:t>
            </w:r>
            <w:r w:rsidRPr="00E1451F">
              <w:rPr>
                <w:rFonts w:eastAsia="Times New Roman" w:cstheme="minorHAnsi"/>
                <w:i/>
                <w:color w:val="196B24" w:themeColor="accent3"/>
                <w:sz w:val="16"/>
                <w:szCs w:val="20"/>
                <w:vertAlign w:val="superscript"/>
                <w:lang w:val="fr-FR"/>
              </w:rPr>
              <w:t xml:space="preserve">er </w:t>
            </w:r>
            <w:r w:rsidRPr="00E1451F">
              <w:rPr>
                <w:rFonts w:eastAsia="Times New Roman" w:cstheme="minorHAnsi"/>
                <w:i/>
                <w:color w:val="196B24" w:themeColor="accent3"/>
                <w:sz w:val="16"/>
                <w:szCs w:val="20"/>
                <w:lang w:val="fr-FR"/>
              </w:rPr>
              <w:t>alinéa 3.3 et .4)</w:t>
            </w:r>
          </w:p>
        </w:tc>
        <w:tc>
          <w:tcPr>
            <w:tcW w:w="8451" w:type="dxa"/>
          </w:tcPr>
          <w:p w14:paraId="11F021C5" w14:textId="77777777" w:rsidR="00537000" w:rsidRPr="00004022" w:rsidRDefault="00537000" w:rsidP="00592E43">
            <w:pPr>
              <w:pStyle w:val="ListParagraph"/>
              <w:numPr>
                <w:ilvl w:val="0"/>
                <w:numId w:val="4"/>
              </w:numPr>
              <w:ind w:left="195" w:hanging="142"/>
              <w:jc w:val="both"/>
              <w:rPr>
                <w:rFonts w:cstheme="minorHAnsi"/>
                <w:szCs w:val="20"/>
                <w:lang w:val="fr-FR"/>
              </w:rPr>
            </w:pPr>
            <w:r>
              <w:rPr>
                <w:rFonts w:cstheme="minorHAnsi"/>
                <w:b/>
                <w:szCs w:val="20"/>
                <w:lang w:val="fr-FR"/>
              </w:rPr>
              <w:t>É</w:t>
            </w:r>
            <w:r w:rsidRPr="00004022">
              <w:rPr>
                <w:rFonts w:cstheme="minorHAnsi"/>
                <w:b/>
                <w:szCs w:val="20"/>
                <w:lang w:val="fr-FR"/>
              </w:rPr>
              <w:t>tablissements hospitaliers spécialisés</w:t>
            </w:r>
            <w:r w:rsidRPr="00004022">
              <w:rPr>
                <w:rFonts w:cstheme="minorHAnsi"/>
                <w:szCs w:val="20"/>
                <w:lang w:val="fr-FR"/>
              </w:rPr>
              <w:t> avec des lits de moyen séjour et de longue durée :</w:t>
            </w:r>
          </w:p>
          <w:p w14:paraId="444C3EA9" w14:textId="77777777" w:rsidR="00537000" w:rsidRPr="00004022" w:rsidRDefault="00537000" w:rsidP="00592E43">
            <w:pPr>
              <w:pStyle w:val="ListParagraph"/>
              <w:numPr>
                <w:ilvl w:val="1"/>
                <w:numId w:val="61"/>
              </w:numPr>
              <w:ind w:left="336" w:hanging="142"/>
              <w:jc w:val="both"/>
              <w:rPr>
                <w:rFonts w:cstheme="minorHAnsi"/>
                <w:szCs w:val="20"/>
                <w:lang w:val="fr-FR"/>
              </w:rPr>
            </w:pPr>
            <w:proofErr w:type="gramStart"/>
            <w:r w:rsidRPr="00004022">
              <w:rPr>
                <w:rFonts w:cstheme="minorHAnsi"/>
                <w:szCs w:val="20"/>
                <w:lang w:val="fr-FR"/>
              </w:rPr>
              <w:t>le</w:t>
            </w:r>
            <w:proofErr w:type="gramEnd"/>
            <w:r w:rsidRPr="00004022">
              <w:rPr>
                <w:rFonts w:cstheme="minorHAnsi"/>
                <w:b/>
                <w:szCs w:val="20"/>
                <w:lang w:val="fr-FR"/>
              </w:rPr>
              <w:t xml:space="preserve"> Centre Hospitalier </w:t>
            </w:r>
            <w:proofErr w:type="spellStart"/>
            <w:r w:rsidRPr="00004022">
              <w:rPr>
                <w:rFonts w:cstheme="minorHAnsi"/>
                <w:b/>
                <w:szCs w:val="20"/>
                <w:lang w:val="fr-FR"/>
              </w:rPr>
              <w:t>Neuro-Psychiatrique</w:t>
            </w:r>
            <w:proofErr w:type="spellEnd"/>
            <w:r w:rsidRPr="00004022">
              <w:rPr>
                <w:rFonts w:cstheme="minorHAnsi"/>
                <w:szCs w:val="20"/>
                <w:lang w:val="fr-FR"/>
              </w:rPr>
              <w:t xml:space="preserve"> (</w:t>
            </w:r>
            <w:r w:rsidRPr="00004022">
              <w:rPr>
                <w:rFonts w:cstheme="minorHAnsi"/>
                <w:b/>
                <w:szCs w:val="20"/>
                <w:lang w:val="fr-FR"/>
              </w:rPr>
              <w:t>CHNP</w:t>
            </w:r>
            <w:r w:rsidRPr="00004022">
              <w:rPr>
                <w:rFonts w:cstheme="minorHAnsi"/>
                <w:szCs w:val="20"/>
                <w:lang w:val="fr-FR"/>
              </w:rPr>
              <w:t xml:space="preserve">) pour la réhabilitation psychiatrique et l’hospitalisation de longue durée psychiatrique, </w:t>
            </w:r>
          </w:p>
          <w:p w14:paraId="3C0CA6CC" w14:textId="77777777" w:rsidR="00537000" w:rsidRPr="00004022" w:rsidRDefault="00537000" w:rsidP="00592E43">
            <w:pPr>
              <w:pStyle w:val="ListParagraph"/>
              <w:numPr>
                <w:ilvl w:val="1"/>
                <w:numId w:val="61"/>
              </w:numPr>
              <w:ind w:left="336" w:hanging="142"/>
              <w:jc w:val="both"/>
              <w:rPr>
                <w:rFonts w:cstheme="minorHAnsi"/>
                <w:szCs w:val="20"/>
                <w:lang w:val="fr-FR"/>
              </w:rPr>
            </w:pPr>
            <w:proofErr w:type="gramStart"/>
            <w:r w:rsidRPr="00004022">
              <w:rPr>
                <w:rFonts w:cstheme="minorHAnsi"/>
                <w:szCs w:val="20"/>
                <w:lang w:val="fr-FR"/>
              </w:rPr>
              <w:t>le</w:t>
            </w:r>
            <w:proofErr w:type="gramEnd"/>
            <w:r w:rsidRPr="00004022">
              <w:rPr>
                <w:rFonts w:cstheme="minorHAnsi"/>
                <w:szCs w:val="20"/>
                <w:lang w:val="fr-FR"/>
              </w:rPr>
              <w:t xml:space="preserve"> </w:t>
            </w:r>
            <w:r w:rsidRPr="00004022">
              <w:rPr>
                <w:rFonts w:cstheme="minorHAnsi"/>
                <w:b/>
                <w:szCs w:val="20"/>
                <w:lang w:val="fr-FR"/>
              </w:rPr>
              <w:t>Centre National de Rééducation Fonctionnelle et de Réadaptation</w:t>
            </w:r>
            <w:r w:rsidRPr="00004022">
              <w:rPr>
                <w:rFonts w:cstheme="minorHAnsi"/>
                <w:szCs w:val="20"/>
                <w:lang w:val="fr-FR"/>
              </w:rPr>
              <w:t xml:space="preserve"> - </w:t>
            </w:r>
            <w:proofErr w:type="spellStart"/>
            <w:r w:rsidRPr="00004022">
              <w:rPr>
                <w:rFonts w:cstheme="minorHAnsi"/>
                <w:b/>
                <w:szCs w:val="20"/>
                <w:lang w:val="fr-FR"/>
              </w:rPr>
              <w:t>Rehazenter</w:t>
            </w:r>
            <w:proofErr w:type="spellEnd"/>
            <w:r w:rsidRPr="00004022">
              <w:rPr>
                <w:rFonts w:cstheme="minorHAnsi"/>
                <w:b/>
                <w:szCs w:val="20"/>
                <w:lang w:val="fr-FR"/>
              </w:rPr>
              <w:t xml:space="preserve"> </w:t>
            </w:r>
            <w:r w:rsidRPr="00004022">
              <w:rPr>
                <w:rFonts w:cstheme="minorHAnsi"/>
                <w:szCs w:val="20"/>
                <w:lang w:val="fr-FR"/>
              </w:rPr>
              <w:t>(</w:t>
            </w:r>
            <w:r w:rsidRPr="00004022">
              <w:rPr>
                <w:rFonts w:cstheme="minorHAnsi"/>
                <w:b/>
                <w:szCs w:val="20"/>
                <w:lang w:val="fr-FR"/>
              </w:rPr>
              <w:t>RHZ</w:t>
            </w:r>
            <w:r w:rsidRPr="00004022">
              <w:rPr>
                <w:rFonts w:cstheme="minorHAnsi"/>
                <w:szCs w:val="20"/>
                <w:lang w:val="fr-FR"/>
              </w:rPr>
              <w:t>) pour la rééducation fonctionnelle,</w:t>
            </w:r>
          </w:p>
          <w:p w14:paraId="4C67ABF0" w14:textId="77777777" w:rsidR="00537000" w:rsidRPr="00004022" w:rsidRDefault="00537000" w:rsidP="00592E43">
            <w:pPr>
              <w:pStyle w:val="ListParagraph"/>
              <w:numPr>
                <w:ilvl w:val="1"/>
                <w:numId w:val="61"/>
              </w:numPr>
              <w:ind w:left="336" w:hanging="142"/>
              <w:jc w:val="both"/>
              <w:rPr>
                <w:rFonts w:cstheme="minorHAnsi"/>
                <w:szCs w:val="20"/>
                <w:lang w:val="fr-FR"/>
              </w:rPr>
            </w:pPr>
            <w:proofErr w:type="gramStart"/>
            <w:r w:rsidRPr="00004022">
              <w:rPr>
                <w:rFonts w:cstheme="minorHAnsi"/>
                <w:szCs w:val="20"/>
                <w:lang w:val="fr-FR"/>
              </w:rPr>
              <w:t>le</w:t>
            </w:r>
            <w:proofErr w:type="gramEnd"/>
            <w:r w:rsidRPr="00004022">
              <w:rPr>
                <w:rFonts w:cstheme="minorHAnsi"/>
                <w:b/>
                <w:szCs w:val="20"/>
                <w:lang w:val="fr-FR"/>
              </w:rPr>
              <w:t xml:space="preserve"> Centre de réhabilitation du Château de </w:t>
            </w:r>
            <w:proofErr w:type="spellStart"/>
            <w:r w:rsidRPr="00004022">
              <w:rPr>
                <w:rFonts w:cstheme="minorHAnsi"/>
                <w:b/>
                <w:szCs w:val="20"/>
                <w:lang w:val="fr-FR"/>
              </w:rPr>
              <w:t>Colpach</w:t>
            </w:r>
            <w:proofErr w:type="spellEnd"/>
            <w:r w:rsidRPr="00004022">
              <w:rPr>
                <w:rFonts w:cstheme="minorHAnsi"/>
                <w:b/>
                <w:szCs w:val="20"/>
                <w:lang w:val="fr-FR"/>
              </w:rPr>
              <w:t xml:space="preserve"> (CRCC) </w:t>
            </w:r>
            <w:r w:rsidRPr="00004022">
              <w:rPr>
                <w:rFonts w:cstheme="minorHAnsi"/>
                <w:szCs w:val="20"/>
                <w:lang w:val="fr-FR"/>
              </w:rPr>
              <w:t>spécialisé en</w:t>
            </w:r>
            <w:r w:rsidRPr="00004022">
              <w:rPr>
                <w:rFonts w:cstheme="minorHAnsi"/>
                <w:b/>
                <w:szCs w:val="20"/>
                <w:lang w:val="fr-FR"/>
              </w:rPr>
              <w:t xml:space="preserve"> </w:t>
            </w:r>
            <w:r w:rsidRPr="00004022">
              <w:rPr>
                <w:rFonts w:cstheme="minorHAnsi"/>
                <w:szCs w:val="20"/>
                <w:lang w:val="fr-FR"/>
              </w:rPr>
              <w:t>réhabilitation physique et post-oncologique,</w:t>
            </w:r>
          </w:p>
          <w:p w14:paraId="403BE922" w14:textId="77777777" w:rsidR="00537000" w:rsidRPr="00004022" w:rsidRDefault="00537000" w:rsidP="00592E43">
            <w:pPr>
              <w:pStyle w:val="ListParagraph"/>
              <w:numPr>
                <w:ilvl w:val="1"/>
                <w:numId w:val="61"/>
              </w:numPr>
              <w:ind w:left="336" w:hanging="142"/>
              <w:jc w:val="both"/>
              <w:rPr>
                <w:rFonts w:cstheme="minorHAnsi"/>
                <w:szCs w:val="20"/>
                <w:lang w:val="fr-FR"/>
              </w:rPr>
            </w:pPr>
            <w:proofErr w:type="gramStart"/>
            <w:r w:rsidRPr="00004022">
              <w:rPr>
                <w:rFonts w:cstheme="minorHAnsi"/>
                <w:szCs w:val="20"/>
                <w:lang w:val="fr-FR"/>
              </w:rPr>
              <w:t>l’</w:t>
            </w:r>
            <w:r w:rsidRPr="00004022">
              <w:rPr>
                <w:rFonts w:cstheme="minorHAnsi"/>
                <w:b/>
                <w:szCs w:val="20"/>
                <w:lang w:val="fr-FR"/>
              </w:rPr>
              <w:t>Hôpital</w:t>
            </w:r>
            <w:proofErr w:type="gramEnd"/>
            <w:r w:rsidRPr="00004022">
              <w:rPr>
                <w:rFonts w:cstheme="minorHAnsi"/>
                <w:b/>
                <w:szCs w:val="20"/>
                <w:lang w:val="fr-FR"/>
              </w:rPr>
              <w:t xml:space="preserve"> Intercommunal de Steinfort (HIS) </w:t>
            </w:r>
            <w:r w:rsidRPr="00004022">
              <w:rPr>
                <w:rFonts w:cstheme="minorHAnsi"/>
                <w:szCs w:val="20"/>
                <w:lang w:val="fr-FR"/>
              </w:rPr>
              <w:t>spécialisé en rééducation gériatrique.</w:t>
            </w:r>
          </w:p>
          <w:p w14:paraId="556B9A1D" w14:textId="77777777" w:rsidR="00537000" w:rsidRPr="00004022" w:rsidRDefault="00537000" w:rsidP="00592E43">
            <w:pPr>
              <w:pStyle w:val="ListParagraph"/>
              <w:numPr>
                <w:ilvl w:val="1"/>
                <w:numId w:val="61"/>
              </w:numPr>
              <w:ind w:left="336" w:hanging="142"/>
              <w:jc w:val="both"/>
              <w:rPr>
                <w:rFonts w:cstheme="minorHAnsi"/>
                <w:szCs w:val="20"/>
                <w:lang w:val="fr-FR"/>
              </w:rPr>
            </w:pPr>
            <w:r w:rsidRPr="00004022">
              <w:rPr>
                <w:rFonts w:cstheme="minorHAnsi"/>
                <w:szCs w:val="20"/>
                <w:lang w:val="fr-FR"/>
              </w:rPr>
              <w:t xml:space="preserve">A noter : l’activité de rééducation gériatrique est également réalisée dans les centres hospitaliers suivants : </w:t>
            </w:r>
            <w:proofErr w:type="spellStart"/>
            <w:r w:rsidRPr="00004022">
              <w:rPr>
                <w:rFonts w:cstheme="minorHAnsi"/>
                <w:szCs w:val="20"/>
                <w:lang w:val="fr-FR"/>
              </w:rPr>
              <w:t>CHdN</w:t>
            </w:r>
            <w:proofErr w:type="spellEnd"/>
            <w:r w:rsidRPr="00004022">
              <w:rPr>
                <w:rFonts w:cstheme="minorHAnsi"/>
                <w:szCs w:val="20"/>
                <w:lang w:val="fr-FR"/>
              </w:rPr>
              <w:t xml:space="preserve">, CHEM, HRS </w:t>
            </w:r>
          </w:p>
          <w:p w14:paraId="1C041F6E" w14:textId="77777777" w:rsidR="00537000" w:rsidRPr="00004022" w:rsidRDefault="00537000" w:rsidP="00592E43">
            <w:pPr>
              <w:pStyle w:val="ListParagraph"/>
              <w:ind w:left="1080"/>
              <w:jc w:val="both"/>
              <w:rPr>
                <w:rFonts w:cstheme="minorHAnsi"/>
                <w:szCs w:val="20"/>
                <w:lang w:val="fr-FR"/>
              </w:rPr>
            </w:pPr>
          </w:p>
          <w:p w14:paraId="65369115" w14:textId="77777777" w:rsidR="00537000" w:rsidRPr="00004022" w:rsidRDefault="00537000" w:rsidP="00592E43">
            <w:pPr>
              <w:pStyle w:val="ListParagraph"/>
              <w:numPr>
                <w:ilvl w:val="0"/>
                <w:numId w:val="4"/>
              </w:numPr>
              <w:ind w:left="195" w:hanging="162"/>
              <w:jc w:val="both"/>
              <w:rPr>
                <w:rFonts w:cstheme="minorHAnsi"/>
                <w:szCs w:val="20"/>
                <w:lang w:val="fr-FR"/>
              </w:rPr>
            </w:pPr>
            <w:r>
              <w:rPr>
                <w:rFonts w:cstheme="minorHAnsi"/>
                <w:b/>
                <w:szCs w:val="20"/>
                <w:lang w:val="fr-FR"/>
              </w:rPr>
              <w:t>É</w:t>
            </w:r>
            <w:r w:rsidRPr="00004022">
              <w:rPr>
                <w:rFonts w:cstheme="minorHAnsi"/>
                <w:b/>
                <w:szCs w:val="20"/>
                <w:lang w:val="fr-FR"/>
              </w:rPr>
              <w:t xml:space="preserve">tablissement d’accueil pour personnes en fin de vie : </w:t>
            </w:r>
            <w:proofErr w:type="spellStart"/>
            <w:r w:rsidRPr="00004022">
              <w:rPr>
                <w:rFonts w:cstheme="minorHAnsi"/>
                <w:b/>
                <w:szCs w:val="20"/>
                <w:lang w:val="fr-FR"/>
              </w:rPr>
              <w:t>Haus</w:t>
            </w:r>
            <w:proofErr w:type="spellEnd"/>
            <w:r w:rsidRPr="00004022">
              <w:rPr>
                <w:rFonts w:cstheme="minorHAnsi"/>
                <w:b/>
                <w:szCs w:val="20"/>
                <w:lang w:val="fr-FR"/>
              </w:rPr>
              <w:t xml:space="preserve"> </w:t>
            </w:r>
            <w:r>
              <w:rPr>
                <w:rFonts w:cstheme="minorHAnsi"/>
                <w:b/>
                <w:szCs w:val="20"/>
                <w:lang w:val="fr-FR"/>
              </w:rPr>
              <w:t>OMEGA</w:t>
            </w:r>
          </w:p>
          <w:p w14:paraId="7968AF76" w14:textId="77777777" w:rsidR="00537000" w:rsidRPr="00004022" w:rsidRDefault="00537000" w:rsidP="00592E43">
            <w:pPr>
              <w:pStyle w:val="ListParagraph"/>
              <w:ind w:left="357"/>
              <w:jc w:val="both"/>
              <w:rPr>
                <w:rFonts w:cstheme="minorHAnsi"/>
                <w:szCs w:val="20"/>
                <w:lang w:val="fr-FR"/>
              </w:rPr>
            </w:pPr>
            <w:r w:rsidRPr="00004022">
              <w:rPr>
                <w:rFonts w:cstheme="minorHAnsi"/>
                <w:szCs w:val="20"/>
                <w:lang w:val="fr-FR"/>
              </w:rPr>
              <w:t>Cet établissement a pour mission principale de dispenser des soins stationnaires à des personnes en phase avancée ou terminale d’une affection grave et incurable, à l’exclusion de soins à visée essentiellement curative.</w:t>
            </w:r>
          </w:p>
          <w:p w14:paraId="40204418" w14:textId="77777777" w:rsidR="00537000" w:rsidRPr="00004022" w:rsidRDefault="00537000" w:rsidP="00592E43">
            <w:pPr>
              <w:pStyle w:val="ListParagraph"/>
              <w:ind w:left="357"/>
              <w:jc w:val="both"/>
              <w:rPr>
                <w:rFonts w:cstheme="minorHAnsi"/>
                <w:szCs w:val="20"/>
                <w:lang w:val="fr-FR"/>
              </w:rPr>
            </w:pPr>
            <w:r w:rsidRPr="00004022">
              <w:rPr>
                <w:rFonts w:cstheme="minorHAnsi"/>
                <w:szCs w:val="20"/>
                <w:lang w:val="fr-FR"/>
              </w:rPr>
              <w:t>Les soins palliatifs sont également assurés dans les services de soins palliatifs des centres hospitaliers (</w:t>
            </w:r>
            <w:proofErr w:type="spellStart"/>
            <w:r w:rsidRPr="00004022">
              <w:rPr>
                <w:rFonts w:cstheme="minorHAnsi"/>
                <w:szCs w:val="20"/>
                <w:lang w:val="fr-FR"/>
              </w:rPr>
              <w:t>CHdN</w:t>
            </w:r>
            <w:proofErr w:type="spellEnd"/>
            <w:r w:rsidRPr="00004022">
              <w:rPr>
                <w:rFonts w:cstheme="minorHAnsi"/>
                <w:szCs w:val="20"/>
                <w:lang w:val="fr-FR"/>
              </w:rPr>
              <w:t>, CHL, CHEM, HRS).</w:t>
            </w:r>
          </w:p>
        </w:tc>
      </w:tr>
      <w:tr w:rsidR="00537000" w:rsidRPr="00F92F9D" w14:paraId="5BFEE5FC" w14:textId="77777777" w:rsidTr="00592E43">
        <w:tc>
          <w:tcPr>
            <w:tcW w:w="1471" w:type="dxa"/>
            <w:shd w:val="clear" w:color="auto" w:fill="B7D4EF" w:themeFill="text2" w:themeFillTint="33"/>
          </w:tcPr>
          <w:p w14:paraId="46D0A1CC"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b/>
                <w:color w:val="196B24" w:themeColor="accent3"/>
                <w:szCs w:val="20"/>
                <w:lang w:val="fr-FR"/>
              </w:rPr>
              <w:t>Établissements hospitaliers n’ayant pas de lits hospitaliers</w:t>
            </w:r>
          </w:p>
          <w:p w14:paraId="4CDBDF35" w14:textId="77777777" w:rsidR="00537000" w:rsidRPr="00E1451F" w:rsidRDefault="00537000" w:rsidP="00592E43">
            <w:pPr>
              <w:rPr>
                <w:rFonts w:eastAsia="Times New Roman" w:cstheme="minorHAnsi"/>
                <w:b/>
                <w:color w:val="196B24" w:themeColor="accent3"/>
                <w:szCs w:val="20"/>
                <w:lang w:val="fr-FR"/>
              </w:rPr>
            </w:pPr>
            <w:r w:rsidRPr="00E1451F">
              <w:rPr>
                <w:rFonts w:eastAsia="Times New Roman" w:cstheme="minorHAnsi"/>
                <w:i/>
                <w:color w:val="196B24" w:themeColor="accent3"/>
                <w:sz w:val="16"/>
                <w:szCs w:val="20"/>
                <w:lang w:val="fr-FR"/>
              </w:rPr>
              <w:t>(</w:t>
            </w:r>
            <w:proofErr w:type="gramStart"/>
            <w:r w:rsidRPr="00E1451F">
              <w:rPr>
                <w:rFonts w:eastAsia="Times New Roman" w:cstheme="minorHAnsi"/>
                <w:i/>
                <w:color w:val="196B24" w:themeColor="accent3"/>
                <w:sz w:val="16"/>
                <w:szCs w:val="20"/>
                <w:lang w:val="fr-FR"/>
              </w:rPr>
              <w:t>art</w:t>
            </w:r>
            <w:proofErr w:type="gramEnd"/>
            <w:r w:rsidRPr="00E1451F">
              <w:rPr>
                <w:rFonts w:eastAsia="Times New Roman" w:cstheme="minorHAnsi"/>
                <w:i/>
                <w:color w:val="196B24" w:themeColor="accent3"/>
                <w:sz w:val="16"/>
                <w:szCs w:val="20"/>
                <w:lang w:val="fr-FR"/>
              </w:rPr>
              <w:t xml:space="preserve"> 1</w:t>
            </w:r>
            <w:r w:rsidRPr="00E1451F">
              <w:rPr>
                <w:rFonts w:eastAsia="Times New Roman" w:cstheme="minorHAnsi"/>
                <w:i/>
                <w:color w:val="196B24" w:themeColor="accent3"/>
                <w:sz w:val="16"/>
                <w:szCs w:val="20"/>
                <w:vertAlign w:val="superscript"/>
                <w:lang w:val="fr-FR"/>
              </w:rPr>
              <w:t xml:space="preserve">er </w:t>
            </w:r>
            <w:r w:rsidRPr="00E1451F">
              <w:rPr>
                <w:rFonts w:eastAsia="Times New Roman" w:cstheme="minorHAnsi"/>
                <w:i/>
                <w:color w:val="196B24" w:themeColor="accent3"/>
                <w:sz w:val="16"/>
                <w:szCs w:val="20"/>
                <w:lang w:val="fr-FR"/>
              </w:rPr>
              <w:t>alinéa 3.5 et .6)</w:t>
            </w:r>
          </w:p>
        </w:tc>
        <w:tc>
          <w:tcPr>
            <w:tcW w:w="8451" w:type="dxa"/>
          </w:tcPr>
          <w:p w14:paraId="2A0ED4C3" w14:textId="77777777" w:rsidR="00537000" w:rsidRPr="00004022" w:rsidRDefault="00537000" w:rsidP="00592E43">
            <w:pPr>
              <w:pStyle w:val="ListParagraph"/>
              <w:numPr>
                <w:ilvl w:val="0"/>
                <w:numId w:val="4"/>
              </w:numPr>
              <w:ind w:left="195" w:hanging="142"/>
              <w:jc w:val="both"/>
              <w:rPr>
                <w:rFonts w:cstheme="minorHAnsi"/>
                <w:szCs w:val="20"/>
                <w:u w:val="single"/>
                <w:lang w:val="fr-FR"/>
              </w:rPr>
            </w:pPr>
            <w:r w:rsidRPr="00004022">
              <w:rPr>
                <w:rFonts w:cstheme="minorHAnsi"/>
                <w:b/>
                <w:szCs w:val="20"/>
                <w:lang w:val="fr-FR"/>
              </w:rPr>
              <w:t xml:space="preserve">Centre thermal et de santé de Mondorf-les-Bains : </w:t>
            </w:r>
            <w:r w:rsidRPr="00004022">
              <w:rPr>
                <w:rFonts w:cstheme="minorHAnsi"/>
                <w:szCs w:val="20"/>
                <w:lang w:val="fr-FR"/>
              </w:rPr>
              <w:t>établissement de cures thermales thérapeutiques.</w:t>
            </w:r>
          </w:p>
          <w:p w14:paraId="160514E2" w14:textId="77777777" w:rsidR="00537000" w:rsidRPr="00004022" w:rsidRDefault="00537000" w:rsidP="00592E43">
            <w:pPr>
              <w:pStyle w:val="ListParagraph"/>
              <w:numPr>
                <w:ilvl w:val="0"/>
                <w:numId w:val="4"/>
              </w:numPr>
              <w:ind w:left="195" w:hanging="142"/>
              <w:jc w:val="both"/>
              <w:rPr>
                <w:rFonts w:cstheme="minorHAnsi"/>
                <w:b/>
                <w:szCs w:val="20"/>
                <w:u w:val="single"/>
                <w:lang w:val="fr-FR"/>
              </w:rPr>
            </w:pPr>
            <w:r w:rsidRPr="00004022">
              <w:rPr>
                <w:rFonts w:cstheme="minorHAnsi"/>
                <w:b/>
                <w:szCs w:val="20"/>
                <w:lang w:val="fr-FR"/>
              </w:rPr>
              <w:t xml:space="preserve">Laboratoire National de Santé : </w:t>
            </w:r>
            <w:r w:rsidRPr="00004022">
              <w:rPr>
                <w:rFonts w:cstheme="minorHAnsi"/>
                <w:szCs w:val="20"/>
                <w:lang w:val="fr-FR"/>
              </w:rPr>
              <w:t>centre de diagnostic pour ses activités de génétique humaine et d’anatomopathologie.</w:t>
            </w:r>
          </w:p>
        </w:tc>
      </w:tr>
    </w:tbl>
    <w:p w14:paraId="5CC9E41D" w14:textId="77777777" w:rsidR="00537000" w:rsidRDefault="00537000" w:rsidP="00537000">
      <w:pPr>
        <w:pStyle w:val="ListParagraph"/>
        <w:ind w:left="360"/>
        <w:rPr>
          <w:rFonts w:cstheme="minorHAnsi"/>
          <w:szCs w:val="20"/>
          <w:lang w:val="fr-FR"/>
        </w:rPr>
      </w:pPr>
    </w:p>
    <w:p w14:paraId="48411822" w14:textId="77777777" w:rsidR="00537000" w:rsidRDefault="00537000" w:rsidP="00537000">
      <w:pPr>
        <w:rPr>
          <w:rFonts w:cstheme="minorHAnsi"/>
          <w:szCs w:val="20"/>
          <w:lang w:val="fr-FR"/>
        </w:rPr>
      </w:pPr>
      <w:r>
        <w:rPr>
          <w:rFonts w:cstheme="minorHAnsi"/>
          <w:szCs w:val="20"/>
          <w:lang w:val="fr-FR"/>
        </w:rPr>
        <w:br w:type="page"/>
      </w:r>
    </w:p>
    <w:p w14:paraId="0447A3E7" w14:textId="77777777" w:rsidR="00537000" w:rsidRPr="00004022" w:rsidRDefault="00537000" w:rsidP="00537000">
      <w:pPr>
        <w:rPr>
          <w:rFonts w:cstheme="minorHAnsi"/>
          <w:szCs w:val="20"/>
          <w:lang w:val="fr-FR"/>
        </w:rPr>
      </w:pPr>
      <w:r w:rsidRPr="00004022">
        <w:rPr>
          <w:b/>
          <w:u w:val="single"/>
          <w:lang w:val="fr-FR"/>
        </w:rPr>
        <w:t>Définitions</w:t>
      </w:r>
      <w:r w:rsidRPr="00004022">
        <w:rPr>
          <w:lang w:val="fr-FR"/>
        </w:rPr>
        <w:t xml:space="preserve"> </w:t>
      </w:r>
      <w:r w:rsidRPr="00004022">
        <w:rPr>
          <w:b/>
          <w:lang w:val="fr-FR"/>
        </w:rPr>
        <w:t>:</w:t>
      </w:r>
      <w:r w:rsidRPr="008E2E79">
        <w:rPr>
          <w:b/>
          <w:lang w:val="fr-FR"/>
        </w:rPr>
        <w:t xml:space="preserve"> </w:t>
      </w:r>
    </w:p>
    <w:p w14:paraId="4B677656" w14:textId="77777777" w:rsidR="00537000" w:rsidRPr="00004022" w:rsidRDefault="00537000" w:rsidP="00537000">
      <w:pPr>
        <w:pStyle w:val="ListParagraph"/>
        <w:ind w:left="0"/>
        <w:jc w:val="both"/>
        <w:rPr>
          <w:rFonts w:cs="Times New Roman"/>
          <w:color w:val="000000"/>
          <w:szCs w:val="20"/>
          <w:lang w:val="fr-FR"/>
        </w:rPr>
      </w:pPr>
      <w:bookmarkStart w:id="12" w:name="_Hlk32348343"/>
      <w:r w:rsidRPr="00004022">
        <w:rPr>
          <w:i/>
          <w:sz w:val="18"/>
          <w:szCs w:val="16"/>
          <w:lang w:val="fr-FR"/>
        </w:rPr>
        <w:t>(Source :</w:t>
      </w:r>
      <w:r w:rsidRPr="00004022">
        <w:rPr>
          <w:rFonts w:cs="Times New Roman"/>
          <w:color w:val="000000"/>
          <w:szCs w:val="20"/>
          <w:lang w:val="fr-FR"/>
        </w:rPr>
        <w:t xml:space="preserve"> </w:t>
      </w:r>
      <w:r w:rsidRPr="00004022">
        <w:rPr>
          <w:i/>
          <w:sz w:val="18"/>
          <w:szCs w:val="16"/>
          <w:lang w:val="fr-FR"/>
        </w:rPr>
        <w:t xml:space="preserve">Loi modifiée du 8 mars 2018 relative aux établissements hospitaliers et à la planification hospitalière, art. 2, 4, 9, 14 et 28) </w:t>
      </w:r>
    </w:p>
    <w:p w14:paraId="5B339B88" w14:textId="77777777" w:rsidR="00537000" w:rsidRPr="00004022" w:rsidRDefault="00537000" w:rsidP="00537000">
      <w:pPr>
        <w:pStyle w:val="ListParagraph"/>
        <w:ind w:left="360"/>
        <w:rPr>
          <w:b/>
          <w:u w:val="single"/>
          <w:lang w:val="fr-FR"/>
        </w:rPr>
      </w:pPr>
    </w:p>
    <w:tbl>
      <w:tblPr>
        <w:tblW w:w="10065" w:type="dxa"/>
        <w:tblInd w:w="-567" w:type="dxa"/>
        <w:tblBorders>
          <w:bottom w:val="single" w:sz="4" w:space="0" w:color="999999" w:themeColor="text1" w:themeTint="66"/>
          <w:insideH w:val="single" w:sz="4" w:space="0" w:color="999999" w:themeColor="text1" w:themeTint="66"/>
          <w:insideV w:val="single" w:sz="4" w:space="0" w:color="999999" w:themeColor="text1" w:themeTint="66"/>
        </w:tblBorders>
        <w:tblCellMar>
          <w:top w:w="57" w:type="dxa"/>
          <w:bottom w:w="57" w:type="dxa"/>
        </w:tblCellMar>
        <w:tblLook w:val="04A0" w:firstRow="1" w:lastRow="0" w:firstColumn="1" w:lastColumn="0" w:noHBand="0" w:noVBand="1"/>
      </w:tblPr>
      <w:tblGrid>
        <w:gridCol w:w="1585"/>
        <w:gridCol w:w="8480"/>
      </w:tblGrid>
      <w:tr w:rsidR="00537000" w:rsidRPr="00F92F9D" w14:paraId="65C06A0E" w14:textId="77777777" w:rsidTr="00592E43">
        <w:trPr>
          <w:trHeight w:val="619"/>
        </w:trPr>
        <w:tc>
          <w:tcPr>
            <w:tcW w:w="1585" w:type="dxa"/>
            <w:vMerge w:val="restart"/>
            <w:shd w:val="clear" w:color="auto" w:fill="B7D4EF" w:themeFill="text2" w:themeFillTint="33"/>
          </w:tcPr>
          <w:p w14:paraId="65E28586" w14:textId="77777777" w:rsidR="00537000" w:rsidRPr="00E1451F" w:rsidRDefault="00537000" w:rsidP="00592E43">
            <w:pPr>
              <w:rPr>
                <w:b/>
                <w:color w:val="196B24" w:themeColor="accent3"/>
                <w:szCs w:val="16"/>
                <w:lang w:val="fr-FR"/>
              </w:rPr>
            </w:pPr>
            <w:r w:rsidRPr="00E1451F">
              <w:rPr>
                <w:b/>
                <w:color w:val="196B24" w:themeColor="accent3"/>
                <w:szCs w:val="16"/>
                <w:lang w:val="fr-FR"/>
              </w:rPr>
              <w:t>Unités de soins et services hospitaliers </w:t>
            </w:r>
          </w:p>
          <w:p w14:paraId="3E294CB5" w14:textId="77777777" w:rsidR="00537000" w:rsidRPr="00E1451F" w:rsidRDefault="00537000" w:rsidP="00592E43">
            <w:pPr>
              <w:pStyle w:val="ListParagraph"/>
              <w:ind w:left="0"/>
              <w:rPr>
                <w:b/>
                <w:color w:val="196B24" w:themeColor="accent3"/>
                <w:u w:val="single"/>
                <w:lang w:val="fr-FR"/>
              </w:rPr>
            </w:pPr>
          </w:p>
        </w:tc>
        <w:tc>
          <w:tcPr>
            <w:tcW w:w="8480" w:type="dxa"/>
          </w:tcPr>
          <w:p w14:paraId="51708C3A" w14:textId="77777777" w:rsidR="00537000" w:rsidRPr="00004022" w:rsidRDefault="00537000" w:rsidP="00592E43">
            <w:pPr>
              <w:jc w:val="both"/>
              <w:rPr>
                <w:rFonts w:cs="Times New Roman"/>
                <w:color w:val="000000"/>
                <w:szCs w:val="20"/>
                <w:lang w:val="fr-FR"/>
              </w:rPr>
            </w:pPr>
            <w:r w:rsidRPr="00004022">
              <w:rPr>
                <w:rFonts w:cs="Times New Roman"/>
                <w:b/>
                <w:color w:val="000000"/>
                <w:szCs w:val="20"/>
                <w:lang w:val="fr-FR"/>
              </w:rPr>
              <w:t>Unité de soins</w:t>
            </w:r>
            <w:r w:rsidRPr="00004022">
              <w:rPr>
                <w:rFonts w:cs="Times New Roman"/>
                <w:color w:val="000000"/>
                <w:szCs w:val="20"/>
                <w:lang w:val="fr-FR"/>
              </w:rPr>
              <w:t xml:space="preserve"> : unité fonctionnelle soit d’hospitalisation, soit médico-technique, prenant en charge des patients, située dans une même enceinte architecturale et relevant d’une dotation et d’une gestion communes.</w:t>
            </w:r>
          </w:p>
        </w:tc>
      </w:tr>
      <w:tr w:rsidR="00537000" w:rsidRPr="00F92F9D" w14:paraId="16D34E2F" w14:textId="77777777" w:rsidTr="00592E43">
        <w:trPr>
          <w:trHeight w:val="706"/>
        </w:trPr>
        <w:tc>
          <w:tcPr>
            <w:tcW w:w="1585" w:type="dxa"/>
            <w:vMerge/>
            <w:shd w:val="clear" w:color="auto" w:fill="B7D4EF" w:themeFill="text2" w:themeFillTint="33"/>
          </w:tcPr>
          <w:p w14:paraId="21B184E3" w14:textId="77777777" w:rsidR="00537000" w:rsidRPr="00E1451F" w:rsidRDefault="00537000" w:rsidP="00592E43">
            <w:pPr>
              <w:pStyle w:val="ListParagraph"/>
              <w:ind w:left="0"/>
              <w:rPr>
                <w:b/>
                <w:color w:val="196B24" w:themeColor="accent3"/>
                <w:u w:val="single"/>
                <w:lang w:val="fr-FR"/>
              </w:rPr>
            </w:pPr>
          </w:p>
        </w:tc>
        <w:tc>
          <w:tcPr>
            <w:tcW w:w="8480" w:type="dxa"/>
          </w:tcPr>
          <w:p w14:paraId="3243BE39" w14:textId="77777777" w:rsidR="00537000" w:rsidRPr="00004022" w:rsidRDefault="00537000" w:rsidP="00592E43">
            <w:pPr>
              <w:jc w:val="both"/>
              <w:rPr>
                <w:rFonts w:cs="Times New Roman"/>
                <w:color w:val="000000"/>
                <w:szCs w:val="20"/>
                <w:lang w:val="fr-FR"/>
              </w:rPr>
            </w:pPr>
            <w:r w:rsidRPr="00004022">
              <w:rPr>
                <w:rFonts w:cs="Times New Roman"/>
                <w:b/>
                <w:color w:val="000000"/>
                <w:szCs w:val="20"/>
                <w:lang w:val="fr-FR"/>
              </w:rPr>
              <w:t>Service hospitalier</w:t>
            </w:r>
            <w:r w:rsidRPr="00004022">
              <w:rPr>
                <w:rFonts w:cs="Times New Roman"/>
                <w:color w:val="000000"/>
                <w:szCs w:val="20"/>
                <w:lang w:val="fr-FR"/>
              </w:rPr>
              <w:t xml:space="preserve"> : unité d’organisation et de gestion comportant une ou plusieurs unités de soins où s’exerce l’activité médico-soignante de l’hôpital. </w:t>
            </w:r>
          </w:p>
          <w:p w14:paraId="6BE56EAA" w14:textId="77777777" w:rsidR="00537000" w:rsidRPr="00004022" w:rsidRDefault="00537000" w:rsidP="00592E43">
            <w:pPr>
              <w:jc w:val="both"/>
              <w:rPr>
                <w:rFonts w:cs="Times New Roman"/>
                <w:color w:val="000000"/>
                <w:szCs w:val="20"/>
                <w:lang w:val="fr-FR"/>
              </w:rPr>
            </w:pPr>
            <w:r w:rsidRPr="00004022">
              <w:rPr>
                <w:rFonts w:cs="Times New Roman"/>
                <w:color w:val="000000"/>
                <w:szCs w:val="20"/>
                <w:lang w:val="fr-FR"/>
              </w:rPr>
              <w:t>L’annexe 2 de la loi hospitalière précise les caractéristiques attendues pour chacun des services hospitaliers.</w:t>
            </w:r>
          </w:p>
          <w:p w14:paraId="5BD3676B" w14:textId="77777777" w:rsidR="00537000" w:rsidRPr="00004022" w:rsidRDefault="00537000" w:rsidP="00592E43">
            <w:pPr>
              <w:jc w:val="both"/>
              <w:rPr>
                <w:rFonts w:cs="Times New Roman"/>
                <w:color w:val="000000"/>
                <w:szCs w:val="20"/>
                <w:lang w:val="fr-FR"/>
              </w:rPr>
            </w:pPr>
          </w:p>
          <w:p w14:paraId="583350DB" w14:textId="77777777" w:rsidR="00537000" w:rsidRPr="00004022" w:rsidRDefault="00537000" w:rsidP="00592E43">
            <w:pPr>
              <w:jc w:val="both"/>
              <w:rPr>
                <w:rFonts w:cs="Times New Roman"/>
                <w:color w:val="000000"/>
                <w:szCs w:val="20"/>
                <w:lang w:val="fr-FR"/>
              </w:rPr>
            </w:pPr>
            <w:r w:rsidRPr="00004022">
              <w:rPr>
                <w:rFonts w:cs="Times New Roman"/>
                <w:b/>
                <w:color w:val="000000"/>
                <w:szCs w:val="20"/>
                <w:lang w:val="fr-FR"/>
              </w:rPr>
              <w:t>Antenne de service</w:t>
            </w:r>
            <w:r w:rsidRPr="00004022">
              <w:rPr>
                <w:rFonts w:cs="Times New Roman"/>
                <w:color w:val="000000"/>
                <w:szCs w:val="20"/>
                <w:lang w:val="fr-FR"/>
              </w:rPr>
              <w:t xml:space="preserve"> : chaque établissement hospitalier ne peut disposer que d’un seul service hospitalier de la même nature et sur un site unique. Toutefois, lorsqu’il s’agit d’un établissement </w:t>
            </w:r>
            <w:proofErr w:type="spellStart"/>
            <w:r w:rsidRPr="00004022">
              <w:rPr>
                <w:rFonts w:cs="Times New Roman"/>
                <w:color w:val="000000"/>
                <w:szCs w:val="20"/>
                <w:lang w:val="fr-FR"/>
              </w:rPr>
              <w:t>multi-sites</w:t>
            </w:r>
            <w:proofErr w:type="spellEnd"/>
            <w:r w:rsidRPr="00004022">
              <w:rPr>
                <w:rFonts w:cs="Times New Roman"/>
                <w:color w:val="000000"/>
                <w:szCs w:val="20"/>
                <w:lang w:val="fr-FR"/>
              </w:rPr>
              <w:t>, un service hospitalier autorisé peut comprendre une unité de soins située sur un autre site hospitalier du même établissement hospitalier. Dans ce cas, l’unité est considérée comme une « antenne de service ». Un centre hospitalier peut disposer de deux antennes supplémentaires par service visé à l’article 4, paragraphe 1</w:t>
            </w:r>
            <w:r w:rsidRPr="00064752">
              <w:rPr>
                <w:rFonts w:cs="Times New Roman"/>
                <w:color w:val="000000"/>
                <w:szCs w:val="20"/>
                <w:vertAlign w:val="superscript"/>
                <w:lang w:val="fr-FR"/>
              </w:rPr>
              <w:t>er</w:t>
            </w:r>
            <w:r w:rsidRPr="00004022">
              <w:rPr>
                <w:rFonts w:cs="Times New Roman"/>
                <w:color w:val="000000"/>
                <w:szCs w:val="20"/>
                <w:lang w:val="fr-FR"/>
              </w:rPr>
              <w:t>, alinéa 4.</w:t>
            </w:r>
          </w:p>
          <w:p w14:paraId="43B1CB5C" w14:textId="77777777" w:rsidR="00537000" w:rsidRPr="00004022" w:rsidRDefault="00537000" w:rsidP="00592E43">
            <w:pPr>
              <w:jc w:val="both"/>
              <w:rPr>
                <w:rFonts w:cs="Times New Roman"/>
                <w:color w:val="000000"/>
                <w:szCs w:val="20"/>
                <w:lang w:val="fr-FR"/>
              </w:rPr>
            </w:pPr>
            <w:r w:rsidRPr="00004022">
              <w:rPr>
                <w:rFonts w:cs="Times New Roman"/>
                <w:color w:val="000000"/>
                <w:szCs w:val="20"/>
                <w:lang w:val="fr-FR"/>
              </w:rPr>
              <w:t xml:space="preserve">Une antenne de service peut également être exploitée par un établissement hospitalier ne disposant pas du service hospitalier en question, sur base d’une convention de collaboration </w:t>
            </w:r>
            <w:proofErr w:type="spellStart"/>
            <w:r w:rsidRPr="00004022">
              <w:rPr>
                <w:rFonts w:cs="Times New Roman"/>
                <w:color w:val="000000"/>
                <w:szCs w:val="20"/>
                <w:lang w:val="fr-FR"/>
              </w:rPr>
              <w:t>inter-hospitalière</w:t>
            </w:r>
            <w:proofErr w:type="spellEnd"/>
            <w:r w:rsidRPr="00004022">
              <w:rPr>
                <w:rFonts w:cs="Times New Roman"/>
                <w:color w:val="000000"/>
                <w:szCs w:val="20"/>
                <w:lang w:val="fr-FR"/>
              </w:rPr>
              <w:t xml:space="preserve"> avec un établissement hospitalier disposant d’un tel service, dont le projet de service reprend les modalités de collaboration. L’antenne de service doit répondre à différentes conditions </w:t>
            </w:r>
            <w:r w:rsidRPr="00004022">
              <w:rPr>
                <w:i/>
                <w:sz w:val="18"/>
                <w:szCs w:val="16"/>
                <w:lang w:val="fr-FR"/>
              </w:rPr>
              <w:t>(cf. art. 9.7).</w:t>
            </w:r>
          </w:p>
        </w:tc>
      </w:tr>
      <w:tr w:rsidR="00537000" w:rsidRPr="00F92F9D" w14:paraId="1A678892" w14:textId="77777777" w:rsidTr="00592E43">
        <w:trPr>
          <w:trHeight w:val="536"/>
        </w:trPr>
        <w:tc>
          <w:tcPr>
            <w:tcW w:w="1585" w:type="dxa"/>
            <w:vMerge/>
            <w:shd w:val="clear" w:color="auto" w:fill="B7D4EF" w:themeFill="text2" w:themeFillTint="33"/>
          </w:tcPr>
          <w:p w14:paraId="436B18AC" w14:textId="77777777" w:rsidR="00537000" w:rsidRPr="00E1451F" w:rsidRDefault="00537000" w:rsidP="00592E43">
            <w:pPr>
              <w:pStyle w:val="ListParagraph"/>
              <w:ind w:left="0"/>
              <w:rPr>
                <w:b/>
                <w:color w:val="196B24" w:themeColor="accent3"/>
                <w:u w:val="single"/>
                <w:lang w:val="fr-FR"/>
              </w:rPr>
            </w:pPr>
          </w:p>
        </w:tc>
        <w:tc>
          <w:tcPr>
            <w:tcW w:w="8480" w:type="dxa"/>
          </w:tcPr>
          <w:p w14:paraId="7E9E4FC7" w14:textId="77777777" w:rsidR="00537000" w:rsidRPr="00004022" w:rsidRDefault="00537000" w:rsidP="00592E43">
            <w:pPr>
              <w:jc w:val="both"/>
              <w:rPr>
                <w:rFonts w:cs="Times New Roman"/>
                <w:b/>
                <w:color w:val="000000"/>
                <w:szCs w:val="20"/>
                <w:lang w:val="fr-FR"/>
              </w:rPr>
            </w:pPr>
            <w:r w:rsidRPr="00004022">
              <w:rPr>
                <w:rFonts w:cs="Times New Roman"/>
                <w:b/>
                <w:color w:val="000000"/>
                <w:szCs w:val="20"/>
                <w:lang w:val="fr-FR"/>
              </w:rPr>
              <w:t xml:space="preserve">Service national : </w:t>
            </w:r>
            <w:r w:rsidRPr="00004022">
              <w:rPr>
                <w:rFonts w:cs="Times New Roman"/>
                <w:color w:val="000000"/>
                <w:szCs w:val="20"/>
                <w:lang w:val="fr-FR"/>
              </w:rPr>
              <w:t>service hospitalier unique pour le pays regroupant les pathologies nécessitant le recours à des compétences, des équipements ou des infrastructures spécifiques. Il garantit la continuité des soins sur le plan national.</w:t>
            </w:r>
          </w:p>
        </w:tc>
      </w:tr>
      <w:tr w:rsidR="00537000" w:rsidRPr="00F92F9D" w14:paraId="68EE86BE" w14:textId="77777777" w:rsidTr="00592E43">
        <w:trPr>
          <w:trHeight w:val="944"/>
        </w:trPr>
        <w:tc>
          <w:tcPr>
            <w:tcW w:w="1585" w:type="dxa"/>
            <w:vMerge/>
            <w:shd w:val="clear" w:color="auto" w:fill="B7D4EF" w:themeFill="text2" w:themeFillTint="33"/>
          </w:tcPr>
          <w:p w14:paraId="10EF0582" w14:textId="77777777" w:rsidR="00537000" w:rsidRPr="00E1451F" w:rsidRDefault="00537000" w:rsidP="00592E43">
            <w:pPr>
              <w:pStyle w:val="ListParagraph"/>
              <w:ind w:left="0"/>
              <w:rPr>
                <w:b/>
                <w:color w:val="196B24" w:themeColor="accent3"/>
                <w:u w:val="single"/>
                <w:lang w:val="fr-FR"/>
              </w:rPr>
            </w:pPr>
          </w:p>
        </w:tc>
        <w:tc>
          <w:tcPr>
            <w:tcW w:w="8480" w:type="dxa"/>
          </w:tcPr>
          <w:p w14:paraId="3CB3161B" w14:textId="77777777" w:rsidR="00537000" w:rsidRPr="00004022" w:rsidRDefault="00537000" w:rsidP="00592E43">
            <w:pPr>
              <w:jc w:val="both"/>
              <w:rPr>
                <w:rFonts w:cs="Times New Roman"/>
                <w:color w:val="000000"/>
                <w:szCs w:val="20"/>
                <w:lang w:val="fr-FR"/>
              </w:rPr>
            </w:pPr>
            <w:r w:rsidRPr="00004022">
              <w:rPr>
                <w:rFonts w:cs="Times New Roman"/>
                <w:b/>
                <w:color w:val="000000"/>
                <w:szCs w:val="20"/>
                <w:lang w:val="fr-FR"/>
              </w:rPr>
              <w:t>Site</w:t>
            </w:r>
            <w:r>
              <w:rPr>
                <w:rStyle w:val="FootnoteReference"/>
                <w:rFonts w:cs="Times New Roman"/>
                <w:color w:val="000000"/>
                <w:szCs w:val="20"/>
              </w:rPr>
              <w:footnoteReference w:id="1"/>
            </w:r>
            <w:r w:rsidRPr="00004022">
              <w:rPr>
                <w:rFonts w:cs="Times New Roman"/>
                <w:b/>
                <w:color w:val="000000"/>
                <w:szCs w:val="20"/>
                <w:lang w:val="fr-FR"/>
              </w:rPr>
              <w:t xml:space="preserve"> : </w:t>
            </w:r>
            <w:r w:rsidRPr="00064752">
              <w:rPr>
                <w:rFonts w:cs="Times New Roman"/>
                <w:bCs/>
                <w:color w:val="000000"/>
                <w:szCs w:val="20"/>
                <w:lang w:val="fr-FR"/>
              </w:rPr>
              <w:t>z</w:t>
            </w:r>
            <w:r w:rsidRPr="00004022">
              <w:rPr>
                <w:rFonts w:cs="Times New Roman"/>
                <w:color w:val="000000"/>
                <w:szCs w:val="20"/>
                <w:lang w:val="fr-FR"/>
              </w:rPr>
              <w:t>one accueillant un ou plusieurs bâtiments exploités par un même organisme gestionnaire et dans laquelle la distance entre un bâtiment et le bâtiment le plus proche ne dépasse pas 500 mètres.</w:t>
            </w:r>
          </w:p>
          <w:p w14:paraId="3D63E765" w14:textId="77777777" w:rsidR="00537000" w:rsidRPr="00004022" w:rsidRDefault="00537000" w:rsidP="00592E43">
            <w:pPr>
              <w:jc w:val="both"/>
              <w:rPr>
                <w:rFonts w:cs="Times New Roman"/>
                <w:color w:val="000000"/>
                <w:szCs w:val="20"/>
                <w:lang w:val="fr-FR"/>
              </w:rPr>
            </w:pPr>
            <w:r w:rsidRPr="00004022">
              <w:rPr>
                <w:rFonts w:cs="Times New Roman"/>
                <w:color w:val="000000"/>
                <w:szCs w:val="20"/>
                <w:lang w:val="fr-FR"/>
              </w:rPr>
              <w:t>Un centre hospitalier peut être exploité sur un ou plusieurs sites. Chaque centre hospitalier dispose au maximum de trois sites hospitaliers et participe au service d’urgence sur un seul de ses sites.</w:t>
            </w:r>
          </w:p>
          <w:p w14:paraId="3CB0E283" w14:textId="77777777" w:rsidR="00537000" w:rsidRPr="00E1451F" w:rsidRDefault="00537000" w:rsidP="00592E43">
            <w:pPr>
              <w:jc w:val="both"/>
              <w:rPr>
                <w:rFonts w:cs="Times New Roman"/>
                <w:color w:val="000000"/>
                <w:szCs w:val="20"/>
                <w:lang w:val="fr-FR"/>
              </w:rPr>
            </w:pPr>
            <w:r w:rsidRPr="00004022">
              <w:rPr>
                <w:rFonts w:cs="Times New Roman"/>
                <w:color w:val="000000"/>
                <w:szCs w:val="20"/>
                <w:lang w:val="fr-FR"/>
              </w:rPr>
              <w:t>Par dérogation, chaque centre hospitalier peut disposer de sites supplémentaires dédiés aux soins de santé ambulatoires. Pour les sites supplémentaires, un centre hospitalier peut conclure avec un ou plusieurs médecins autorisés à exercer la médecine en vertu de la loi modifiée du 29 avril 1983 relative à l’exercice de la profession de médecin, de médecin-dentiste et de médecin-vétérinaire un contrat précisant les modalités de gestion et d’utilisation des équipements et appareils visés à l’annexe 3, ainsi que des parties d’infrastructures les hébergeant.</w:t>
            </w:r>
          </w:p>
        </w:tc>
      </w:tr>
      <w:tr w:rsidR="00537000" w:rsidRPr="00F92F9D" w14:paraId="12D0AF02" w14:textId="77777777" w:rsidTr="00592E43">
        <w:trPr>
          <w:trHeight w:val="944"/>
        </w:trPr>
        <w:tc>
          <w:tcPr>
            <w:tcW w:w="1585" w:type="dxa"/>
            <w:shd w:val="clear" w:color="auto" w:fill="B7D4EF" w:themeFill="text2" w:themeFillTint="33"/>
          </w:tcPr>
          <w:p w14:paraId="21B407FC" w14:textId="77777777" w:rsidR="00537000" w:rsidRPr="00E1451F" w:rsidRDefault="00537000" w:rsidP="00592E43">
            <w:pPr>
              <w:pStyle w:val="ListParagraph"/>
              <w:ind w:left="0"/>
              <w:rPr>
                <w:b/>
                <w:color w:val="196B24" w:themeColor="accent3"/>
                <w:u w:val="single"/>
                <w:lang w:val="fr-FR"/>
              </w:rPr>
            </w:pPr>
            <w:r w:rsidRPr="00E1451F">
              <w:rPr>
                <w:b/>
                <w:color w:val="196B24" w:themeColor="accent3"/>
                <w:szCs w:val="16"/>
                <w:lang w:val="fr-FR"/>
              </w:rPr>
              <w:t>Réseaux de compétences</w:t>
            </w:r>
          </w:p>
        </w:tc>
        <w:tc>
          <w:tcPr>
            <w:tcW w:w="8480" w:type="dxa"/>
          </w:tcPr>
          <w:p w14:paraId="12A303AD" w14:textId="77777777" w:rsidR="00537000" w:rsidRPr="00E1451F" w:rsidRDefault="00537000" w:rsidP="00592E43">
            <w:pPr>
              <w:jc w:val="both"/>
              <w:rPr>
                <w:rFonts w:cs="Times New Roman"/>
                <w:color w:val="000000"/>
                <w:szCs w:val="20"/>
                <w:lang w:val="fr-FR"/>
              </w:rPr>
            </w:pPr>
            <w:r w:rsidRPr="00004022">
              <w:rPr>
                <w:rFonts w:cs="Times New Roman"/>
                <w:color w:val="000000"/>
                <w:szCs w:val="20"/>
                <w:lang w:val="fr-FR"/>
              </w:rPr>
              <w:t xml:space="preserve">Un </w:t>
            </w:r>
            <w:r w:rsidRPr="00004022">
              <w:rPr>
                <w:rFonts w:cs="Times New Roman"/>
                <w:b/>
                <w:color w:val="000000"/>
                <w:szCs w:val="20"/>
                <w:lang w:val="fr-FR"/>
              </w:rPr>
              <w:t>réseau de compétences</w:t>
            </w:r>
            <w:r w:rsidRPr="00004022">
              <w:rPr>
                <w:rFonts w:cs="Times New Roman"/>
                <w:color w:val="000000"/>
                <w:szCs w:val="20"/>
                <w:lang w:val="fr-FR"/>
              </w:rPr>
              <w:t xml:space="preserve"> est une entité organisationnelle qui rassemble à l’intérieur d’un ou de plusieurs établissements hospitaliers des ressources d’un ou de plusieurs services, assurant une prise en charge interdisciplinaire intégrée de patients présentant une pathologie ou un groupe de pathologies, garantissant le respect de critères de qualité élevés par tous les intervenants et la prise en compte des avancées médicales et scientifiques les plus récentes. Les réseaux de compétences peuvent inclure des prestataires extrahospitaliers, institutionnels et individuels, y compris les ressources d’un ou de plusieurs établissements de recherche. Ils peuvent exercer, outre leur mission de diagnostic et de soins, une mission de recherche et d’enseignement.</w:t>
            </w:r>
          </w:p>
        </w:tc>
      </w:tr>
      <w:tr w:rsidR="00537000" w:rsidRPr="00F92F9D" w14:paraId="72A4BC3D" w14:textId="77777777" w:rsidTr="00592E43">
        <w:trPr>
          <w:trHeight w:val="925"/>
        </w:trPr>
        <w:tc>
          <w:tcPr>
            <w:tcW w:w="1585" w:type="dxa"/>
            <w:vMerge w:val="restart"/>
            <w:shd w:val="clear" w:color="auto" w:fill="B7D4EF" w:themeFill="text2" w:themeFillTint="33"/>
          </w:tcPr>
          <w:p w14:paraId="6AD6AB2D" w14:textId="77777777" w:rsidR="00537000" w:rsidRPr="00E1451F" w:rsidRDefault="00537000" w:rsidP="00592E43">
            <w:pPr>
              <w:rPr>
                <w:b/>
                <w:color w:val="196B24" w:themeColor="accent3"/>
                <w:szCs w:val="16"/>
                <w:lang w:val="fr-FR"/>
              </w:rPr>
            </w:pPr>
            <w:r w:rsidRPr="00E1451F">
              <w:rPr>
                <w:b/>
                <w:color w:val="196B24" w:themeColor="accent3"/>
                <w:szCs w:val="16"/>
                <w:lang w:val="fr-FR"/>
              </w:rPr>
              <w:t>Lits et places </w:t>
            </w:r>
          </w:p>
          <w:p w14:paraId="4871DA2E" w14:textId="77777777" w:rsidR="00537000" w:rsidRPr="00E1451F" w:rsidRDefault="00537000" w:rsidP="00592E43">
            <w:pPr>
              <w:pStyle w:val="ListParagraph"/>
              <w:ind w:left="0"/>
              <w:rPr>
                <w:b/>
                <w:color w:val="196B24" w:themeColor="accent3"/>
                <w:u w:val="single"/>
                <w:lang w:val="fr-FR"/>
              </w:rPr>
            </w:pPr>
          </w:p>
        </w:tc>
        <w:tc>
          <w:tcPr>
            <w:tcW w:w="8480" w:type="dxa"/>
          </w:tcPr>
          <w:p w14:paraId="52CBE1DD" w14:textId="77777777" w:rsidR="00537000" w:rsidRPr="00004022" w:rsidRDefault="00537000" w:rsidP="00592E43">
            <w:pPr>
              <w:jc w:val="both"/>
              <w:rPr>
                <w:rFonts w:cs="Times New Roman"/>
                <w:color w:val="000000"/>
                <w:szCs w:val="20"/>
                <w:lang w:val="fr-FR"/>
              </w:rPr>
            </w:pPr>
            <w:r w:rsidRPr="00004022">
              <w:rPr>
                <w:rFonts w:cs="Times New Roman"/>
                <w:b/>
                <w:color w:val="000000"/>
                <w:szCs w:val="20"/>
                <w:lang w:val="fr-FR"/>
              </w:rPr>
              <w:t>Lits</w:t>
            </w:r>
            <w:r w:rsidRPr="00004022">
              <w:rPr>
                <w:rFonts w:cs="Times New Roman"/>
                <w:color w:val="000000"/>
                <w:szCs w:val="20"/>
                <w:lang w:val="fr-FR"/>
              </w:rPr>
              <w:t xml:space="preserve"> : lits hospitaliers qui sont de façon continue à la disposition des patients dans les services hospitaliers, en distinguant : lits aigus, lits de moyen séjour, lits d’hospitalisation de longue durée (exclus : les lits d’hospitalisation de jour et les lits</w:t>
            </w:r>
            <w:r>
              <w:rPr>
                <w:rFonts w:cs="Times New Roman"/>
                <w:color w:val="000000"/>
                <w:szCs w:val="20"/>
                <w:lang w:val="fr-FR"/>
              </w:rPr>
              <w:t>-</w:t>
            </w:r>
            <w:r w:rsidRPr="00004022">
              <w:rPr>
                <w:rFonts w:cs="Times New Roman"/>
                <w:color w:val="000000"/>
                <w:szCs w:val="20"/>
                <w:lang w:val="fr-FR"/>
              </w:rPr>
              <w:t>portes).</w:t>
            </w:r>
          </w:p>
        </w:tc>
      </w:tr>
      <w:tr w:rsidR="00537000" w:rsidRPr="00112DCF" w14:paraId="439A685C" w14:textId="77777777" w:rsidTr="00592E43">
        <w:trPr>
          <w:trHeight w:val="427"/>
        </w:trPr>
        <w:tc>
          <w:tcPr>
            <w:tcW w:w="1585" w:type="dxa"/>
            <w:vMerge/>
            <w:shd w:val="clear" w:color="auto" w:fill="B7D4EF" w:themeFill="text2" w:themeFillTint="33"/>
          </w:tcPr>
          <w:p w14:paraId="34D67203" w14:textId="77777777" w:rsidR="00537000" w:rsidRPr="00E1451F" w:rsidRDefault="00537000" w:rsidP="00592E43">
            <w:pPr>
              <w:pStyle w:val="ListParagraph"/>
              <w:ind w:left="0"/>
              <w:rPr>
                <w:b/>
                <w:color w:val="196B24" w:themeColor="accent3"/>
                <w:u w:val="single"/>
                <w:lang w:val="fr-FR"/>
              </w:rPr>
            </w:pPr>
          </w:p>
        </w:tc>
        <w:tc>
          <w:tcPr>
            <w:tcW w:w="8480" w:type="dxa"/>
          </w:tcPr>
          <w:p w14:paraId="21E0AEB0" w14:textId="77777777" w:rsidR="00537000" w:rsidRPr="00E3030C" w:rsidRDefault="00537000" w:rsidP="00592E43">
            <w:pPr>
              <w:jc w:val="both"/>
              <w:rPr>
                <w:rFonts w:cs="Times New Roman"/>
                <w:color w:val="000000"/>
                <w:szCs w:val="20"/>
                <w:lang w:val="fr-FR"/>
              </w:rPr>
            </w:pPr>
            <w:r w:rsidRPr="00004022">
              <w:rPr>
                <w:rFonts w:cs="Times New Roman"/>
                <w:b/>
                <w:color w:val="000000"/>
                <w:szCs w:val="20"/>
                <w:lang w:val="fr-FR"/>
              </w:rPr>
              <w:t xml:space="preserve">Lits aigus : </w:t>
            </w:r>
            <w:r w:rsidRPr="00004022">
              <w:rPr>
                <w:rFonts w:cs="Times New Roman"/>
                <w:color w:val="000000"/>
                <w:szCs w:val="20"/>
                <w:lang w:val="fr-FR"/>
              </w:rPr>
              <w:t>lits, y compris les lits de soins intensifs, hormis les lits de moyen séjour et les lits d’hospitalisation de longue durée, les lits de soins intensifs étant des lits réservés aux patients nécessitant des soins intensifs.</w:t>
            </w:r>
          </w:p>
        </w:tc>
      </w:tr>
      <w:tr w:rsidR="00537000" w:rsidRPr="00F92F9D" w14:paraId="5E21B47F" w14:textId="77777777" w:rsidTr="00592E43">
        <w:trPr>
          <w:trHeight w:val="1569"/>
        </w:trPr>
        <w:tc>
          <w:tcPr>
            <w:tcW w:w="1585" w:type="dxa"/>
            <w:vMerge/>
            <w:shd w:val="clear" w:color="auto" w:fill="B7D4EF" w:themeFill="text2" w:themeFillTint="33"/>
          </w:tcPr>
          <w:p w14:paraId="15A263C5" w14:textId="77777777" w:rsidR="00537000" w:rsidRPr="00E1451F" w:rsidRDefault="00537000" w:rsidP="00592E43">
            <w:pPr>
              <w:pStyle w:val="ListParagraph"/>
              <w:ind w:left="0"/>
              <w:rPr>
                <w:b/>
                <w:color w:val="196B24" w:themeColor="accent3"/>
                <w:u w:val="single"/>
                <w:lang w:val="fr-FR"/>
              </w:rPr>
            </w:pPr>
          </w:p>
        </w:tc>
        <w:tc>
          <w:tcPr>
            <w:tcW w:w="8480" w:type="dxa"/>
          </w:tcPr>
          <w:p w14:paraId="11DA47F3" w14:textId="77777777" w:rsidR="00537000" w:rsidRPr="00004022" w:rsidRDefault="00537000" w:rsidP="00592E43">
            <w:pPr>
              <w:jc w:val="both"/>
              <w:rPr>
                <w:rFonts w:cs="Times New Roman"/>
                <w:color w:val="000000"/>
                <w:szCs w:val="20"/>
                <w:lang w:val="fr-FR"/>
              </w:rPr>
            </w:pPr>
            <w:r w:rsidRPr="00004022">
              <w:rPr>
                <w:b/>
                <w:szCs w:val="16"/>
                <w:lang w:val="fr-FR"/>
              </w:rPr>
              <w:t xml:space="preserve">Lits de moyen séjour : </w:t>
            </w:r>
            <w:r w:rsidRPr="00004022">
              <w:rPr>
                <w:szCs w:val="16"/>
                <w:lang w:val="fr-FR"/>
              </w:rPr>
              <w:t>l</w:t>
            </w:r>
            <w:r w:rsidRPr="00004022">
              <w:rPr>
                <w:rFonts w:cs="Times New Roman"/>
                <w:color w:val="000000"/>
                <w:szCs w:val="20"/>
                <w:lang w:val="fr-FR"/>
              </w:rPr>
              <w:t xml:space="preserve">its réservés à la rééducation, à la réhabilitation et aux soins palliatifs. </w:t>
            </w:r>
          </w:p>
          <w:p w14:paraId="7E06DE69" w14:textId="77777777" w:rsidR="00537000" w:rsidRPr="00004022" w:rsidRDefault="00537000" w:rsidP="00592E43">
            <w:pPr>
              <w:jc w:val="both"/>
              <w:rPr>
                <w:b/>
                <w:szCs w:val="16"/>
                <w:lang w:val="fr-FR"/>
              </w:rPr>
            </w:pPr>
            <w:r w:rsidRPr="00004022">
              <w:rPr>
                <w:rFonts w:cs="Times New Roman"/>
                <w:color w:val="000000"/>
                <w:szCs w:val="20"/>
                <w:lang w:val="fr-FR"/>
              </w:rPr>
              <w:t>NB : Les lits de soins palliatifs étaient comptés avant la loi hospitalière parmi les lits aigus.</w:t>
            </w:r>
          </w:p>
          <w:p w14:paraId="688F57A1" w14:textId="77777777" w:rsidR="00537000" w:rsidRPr="00004022" w:rsidRDefault="00537000" w:rsidP="00592E43">
            <w:pPr>
              <w:pStyle w:val="ListParagraph"/>
              <w:numPr>
                <w:ilvl w:val="0"/>
                <w:numId w:val="4"/>
              </w:numPr>
              <w:ind w:left="295" w:hanging="207"/>
              <w:contextualSpacing w:val="0"/>
              <w:jc w:val="both"/>
              <w:rPr>
                <w:b/>
                <w:szCs w:val="16"/>
                <w:lang w:val="fr-FR"/>
              </w:rPr>
            </w:pPr>
            <w:r w:rsidRPr="00004022">
              <w:rPr>
                <w:b/>
                <w:szCs w:val="16"/>
                <w:lang w:val="fr-FR"/>
              </w:rPr>
              <w:t xml:space="preserve">Lits de rééducation et de réhabilitation : </w:t>
            </w:r>
            <w:r w:rsidRPr="00004022">
              <w:rPr>
                <w:szCs w:val="16"/>
                <w:lang w:val="fr-FR"/>
              </w:rPr>
              <w:t>l</w:t>
            </w:r>
            <w:r w:rsidRPr="00004022">
              <w:rPr>
                <w:rFonts w:cs="Times New Roman"/>
                <w:color w:val="000000"/>
                <w:szCs w:val="20"/>
                <w:lang w:val="fr-FR"/>
              </w:rPr>
              <w:t>its de moyen séjour des établissements hospitaliers et des services hospitaliers ayant pour mission la rééducation ou la réhabilitation sous ses différentes formes, que sont la rééducation et la réhabilitation fonctionnelle, la rééducation gériatrique, la réhabilitation physique et post-oncologique, la réhabilitation et la réadaptation de malades souffrant de troubles psychiques.</w:t>
            </w:r>
          </w:p>
        </w:tc>
      </w:tr>
      <w:tr w:rsidR="00537000" w:rsidRPr="00112DCF" w14:paraId="25619CDA" w14:textId="77777777" w:rsidTr="00592E43">
        <w:trPr>
          <w:trHeight w:val="976"/>
        </w:trPr>
        <w:tc>
          <w:tcPr>
            <w:tcW w:w="1585" w:type="dxa"/>
            <w:vMerge/>
            <w:shd w:val="clear" w:color="auto" w:fill="B7D4EF" w:themeFill="text2" w:themeFillTint="33"/>
          </w:tcPr>
          <w:p w14:paraId="4E165363" w14:textId="77777777" w:rsidR="00537000" w:rsidRPr="00E1451F" w:rsidRDefault="00537000" w:rsidP="00592E43">
            <w:pPr>
              <w:pStyle w:val="ListParagraph"/>
              <w:ind w:left="0"/>
              <w:rPr>
                <w:b/>
                <w:color w:val="196B24" w:themeColor="accent3"/>
                <w:u w:val="single"/>
                <w:lang w:val="fr-FR"/>
              </w:rPr>
            </w:pPr>
          </w:p>
        </w:tc>
        <w:tc>
          <w:tcPr>
            <w:tcW w:w="8480" w:type="dxa"/>
          </w:tcPr>
          <w:p w14:paraId="4989E258" w14:textId="77777777" w:rsidR="00537000" w:rsidRPr="00004022" w:rsidRDefault="00537000" w:rsidP="00592E43">
            <w:pPr>
              <w:jc w:val="both"/>
              <w:rPr>
                <w:szCs w:val="16"/>
                <w:lang w:val="fr-FR"/>
              </w:rPr>
            </w:pPr>
            <w:r w:rsidRPr="00004022">
              <w:rPr>
                <w:b/>
                <w:szCs w:val="16"/>
                <w:lang w:val="fr-FR"/>
              </w:rPr>
              <w:t xml:space="preserve">Lits d’hospitalisation de longue durée </w:t>
            </w:r>
            <w:r w:rsidRPr="00004022">
              <w:rPr>
                <w:szCs w:val="16"/>
                <w:lang w:val="fr-FR"/>
              </w:rPr>
              <w:t>: lits réservés aux soins hospitaliers de longue durée destinés aux patients souffrant de restrictions fonctionnelles justifiant une surveillance médicale, une prise en charge de même que des soins particuliers et continus par du personnel spécifiquement qualifié ainsi que des traitements d’entretien. Ces lits peuvent être autorisés dans le cadre de deux services nationaux d’hospitalisation de longue durée :</w:t>
            </w:r>
          </w:p>
          <w:p w14:paraId="49BD1A97" w14:textId="77777777" w:rsidR="00537000" w:rsidRPr="00004022" w:rsidRDefault="00537000" w:rsidP="00592E43">
            <w:pPr>
              <w:pStyle w:val="ListParagraph"/>
              <w:numPr>
                <w:ilvl w:val="0"/>
                <w:numId w:val="13"/>
              </w:numPr>
              <w:ind w:left="295" w:hanging="142"/>
              <w:jc w:val="both"/>
              <w:rPr>
                <w:szCs w:val="16"/>
                <w:lang w:val="fr-FR"/>
              </w:rPr>
            </w:pPr>
            <w:proofErr w:type="gramStart"/>
            <w:r w:rsidRPr="00004022">
              <w:rPr>
                <w:szCs w:val="16"/>
                <w:lang w:val="fr-FR"/>
              </w:rPr>
              <w:t>le</w:t>
            </w:r>
            <w:proofErr w:type="gramEnd"/>
            <w:r w:rsidRPr="00004022">
              <w:rPr>
                <w:szCs w:val="16"/>
                <w:lang w:val="fr-FR"/>
              </w:rPr>
              <w:t xml:space="preserve"> service d’hospitalisation de longue durée médicale</w:t>
            </w:r>
          </w:p>
          <w:p w14:paraId="76B1FDC6" w14:textId="77777777" w:rsidR="00537000" w:rsidRPr="00004022" w:rsidRDefault="00537000" w:rsidP="00592E43">
            <w:pPr>
              <w:pStyle w:val="ListParagraph"/>
              <w:numPr>
                <w:ilvl w:val="0"/>
                <w:numId w:val="13"/>
              </w:numPr>
              <w:ind w:left="295" w:hanging="142"/>
              <w:jc w:val="both"/>
              <w:rPr>
                <w:lang w:val="fr-FR"/>
              </w:rPr>
            </w:pPr>
            <w:proofErr w:type="gramStart"/>
            <w:r w:rsidRPr="00004022">
              <w:rPr>
                <w:szCs w:val="16"/>
                <w:lang w:val="fr-FR"/>
              </w:rPr>
              <w:t>le</w:t>
            </w:r>
            <w:proofErr w:type="gramEnd"/>
            <w:r w:rsidRPr="00004022">
              <w:rPr>
                <w:szCs w:val="16"/>
                <w:lang w:val="fr-FR"/>
              </w:rPr>
              <w:t xml:space="preserve"> service d’hospitalisation de longue durée psychiatrique.</w:t>
            </w:r>
          </w:p>
        </w:tc>
      </w:tr>
      <w:tr w:rsidR="00537000" w:rsidRPr="00F92F9D" w14:paraId="1E26794A" w14:textId="77777777" w:rsidTr="00592E43">
        <w:trPr>
          <w:trHeight w:val="132"/>
        </w:trPr>
        <w:tc>
          <w:tcPr>
            <w:tcW w:w="1585" w:type="dxa"/>
            <w:vMerge/>
            <w:shd w:val="clear" w:color="auto" w:fill="B7D4EF" w:themeFill="text2" w:themeFillTint="33"/>
          </w:tcPr>
          <w:p w14:paraId="2CCB1DDB" w14:textId="77777777" w:rsidR="00537000" w:rsidRPr="00E1451F" w:rsidRDefault="00537000" w:rsidP="00592E43">
            <w:pPr>
              <w:pStyle w:val="ListParagraph"/>
              <w:ind w:left="0"/>
              <w:rPr>
                <w:b/>
                <w:color w:val="196B24" w:themeColor="accent3"/>
                <w:u w:val="single"/>
                <w:lang w:val="fr-FR"/>
              </w:rPr>
            </w:pPr>
          </w:p>
        </w:tc>
        <w:tc>
          <w:tcPr>
            <w:tcW w:w="8480" w:type="dxa"/>
          </w:tcPr>
          <w:p w14:paraId="0745190D" w14:textId="77777777" w:rsidR="00537000" w:rsidRPr="00004022" w:rsidRDefault="00537000" w:rsidP="00592E43">
            <w:pPr>
              <w:jc w:val="both"/>
              <w:rPr>
                <w:szCs w:val="16"/>
                <w:lang w:val="fr-FR"/>
              </w:rPr>
            </w:pPr>
            <w:r w:rsidRPr="00004022">
              <w:rPr>
                <w:b/>
                <w:szCs w:val="16"/>
                <w:lang w:val="fr-FR"/>
              </w:rPr>
              <w:t>Lits d’hospitalisation de jour</w:t>
            </w:r>
            <w:r w:rsidRPr="00004022">
              <w:rPr>
                <w:szCs w:val="16"/>
                <w:lang w:val="fr-FR"/>
              </w:rPr>
              <w:t xml:space="preserve"> : lits d’hôpital ou places situés dans un hôpital de jour ou un service de dialyse, réservés aux activités suivantes :</w:t>
            </w:r>
          </w:p>
          <w:p w14:paraId="00DECDEF" w14:textId="77777777" w:rsidR="00537000" w:rsidRPr="00004022" w:rsidRDefault="00537000" w:rsidP="00592E43">
            <w:pPr>
              <w:pStyle w:val="ListParagraph"/>
              <w:ind w:left="0"/>
              <w:jc w:val="both"/>
              <w:rPr>
                <w:szCs w:val="16"/>
                <w:lang w:val="fr-FR"/>
              </w:rPr>
            </w:pPr>
            <w:r w:rsidRPr="00004022">
              <w:rPr>
                <w:szCs w:val="16"/>
                <w:lang w:val="fr-FR"/>
              </w:rPr>
              <w:t>a) actes chirurgicaux ou interventionnels nécessitant une surveillance et des soins pré- ou post-</w:t>
            </w:r>
            <w:proofErr w:type="gramStart"/>
            <w:r w:rsidRPr="00004022">
              <w:rPr>
                <w:szCs w:val="16"/>
                <w:lang w:val="fr-FR"/>
              </w:rPr>
              <w:t>interventionnels;</w:t>
            </w:r>
            <w:proofErr w:type="gramEnd"/>
          </w:p>
          <w:p w14:paraId="7E8F04DD" w14:textId="77777777" w:rsidR="00537000" w:rsidRPr="00004022" w:rsidRDefault="00537000" w:rsidP="00592E43">
            <w:pPr>
              <w:pStyle w:val="ListParagraph"/>
              <w:ind w:left="0"/>
              <w:jc w:val="both"/>
              <w:rPr>
                <w:szCs w:val="16"/>
                <w:lang w:val="fr-FR"/>
              </w:rPr>
            </w:pPr>
            <w:r w:rsidRPr="00004022">
              <w:rPr>
                <w:szCs w:val="16"/>
                <w:lang w:val="fr-FR"/>
              </w:rPr>
              <w:t>b) autres actes diagnostiques et thérapeutiques avec ou sans sédation majeure, à savoir :</w:t>
            </w:r>
          </w:p>
          <w:p w14:paraId="4FBA9795" w14:textId="77777777" w:rsidR="00537000" w:rsidRPr="00004022" w:rsidRDefault="00537000" w:rsidP="00592E43">
            <w:pPr>
              <w:pStyle w:val="ListParagraph"/>
              <w:ind w:left="0" w:firstLine="338"/>
              <w:jc w:val="both"/>
              <w:rPr>
                <w:szCs w:val="16"/>
                <w:lang w:val="fr-FR"/>
              </w:rPr>
            </w:pPr>
            <w:r w:rsidRPr="00004022">
              <w:rPr>
                <w:szCs w:val="16"/>
                <w:lang w:val="fr-FR"/>
              </w:rPr>
              <w:t>– explorations fonctionnelles et endoscopiques ;</w:t>
            </w:r>
          </w:p>
          <w:p w14:paraId="445619E7" w14:textId="77777777" w:rsidR="00537000" w:rsidRPr="00004022" w:rsidRDefault="00537000" w:rsidP="00592E43">
            <w:pPr>
              <w:pStyle w:val="ListParagraph"/>
              <w:ind w:left="0" w:firstLine="338"/>
              <w:jc w:val="both"/>
              <w:rPr>
                <w:szCs w:val="16"/>
                <w:lang w:val="fr-FR"/>
              </w:rPr>
            </w:pPr>
            <w:r w:rsidRPr="00004022">
              <w:rPr>
                <w:szCs w:val="16"/>
                <w:lang w:val="fr-FR"/>
              </w:rPr>
              <w:t>– imagerie interventionnelle ;</w:t>
            </w:r>
          </w:p>
          <w:p w14:paraId="362C868A" w14:textId="77777777" w:rsidR="00537000" w:rsidRPr="00004022" w:rsidRDefault="00537000" w:rsidP="00592E43">
            <w:pPr>
              <w:pStyle w:val="ListParagraph"/>
              <w:ind w:left="0" w:firstLine="338"/>
              <w:jc w:val="both"/>
              <w:rPr>
                <w:szCs w:val="16"/>
                <w:lang w:val="fr-FR"/>
              </w:rPr>
            </w:pPr>
            <w:r w:rsidRPr="00004022">
              <w:rPr>
                <w:szCs w:val="16"/>
                <w:lang w:val="fr-FR"/>
              </w:rPr>
              <w:t>– ponctions et biopsies non-chirurgicales ;</w:t>
            </w:r>
          </w:p>
          <w:p w14:paraId="65322AE1" w14:textId="77777777" w:rsidR="00537000" w:rsidRPr="00004022" w:rsidRDefault="00537000" w:rsidP="00592E43">
            <w:pPr>
              <w:pStyle w:val="ListParagraph"/>
              <w:ind w:left="0"/>
              <w:jc w:val="both"/>
              <w:rPr>
                <w:szCs w:val="16"/>
                <w:lang w:val="fr-FR"/>
              </w:rPr>
            </w:pPr>
            <w:r w:rsidRPr="00004022">
              <w:rPr>
                <w:szCs w:val="16"/>
                <w:lang w:val="fr-FR"/>
              </w:rPr>
              <w:t>c) diverses prises en charge thérapeutiques :</w:t>
            </w:r>
          </w:p>
          <w:p w14:paraId="50A3F645" w14:textId="77777777" w:rsidR="00537000" w:rsidRPr="00004022" w:rsidRDefault="00537000" w:rsidP="00592E43">
            <w:pPr>
              <w:pStyle w:val="ListParagraph"/>
              <w:ind w:left="0" w:firstLine="338"/>
              <w:jc w:val="both"/>
              <w:rPr>
                <w:szCs w:val="16"/>
                <w:lang w:val="fr-FR"/>
              </w:rPr>
            </w:pPr>
            <w:r w:rsidRPr="00004022">
              <w:rPr>
                <w:szCs w:val="16"/>
                <w:lang w:val="fr-FR"/>
              </w:rPr>
              <w:t>– épuration extra-rénale ;</w:t>
            </w:r>
          </w:p>
          <w:p w14:paraId="3D2B8A8F" w14:textId="77777777" w:rsidR="00537000" w:rsidRPr="00004022" w:rsidRDefault="00537000" w:rsidP="00592E43">
            <w:pPr>
              <w:pStyle w:val="ListParagraph"/>
              <w:ind w:left="0" w:firstLine="338"/>
              <w:jc w:val="both"/>
              <w:rPr>
                <w:szCs w:val="16"/>
                <w:lang w:val="fr-FR"/>
              </w:rPr>
            </w:pPr>
            <w:r w:rsidRPr="00004022">
              <w:rPr>
                <w:szCs w:val="16"/>
                <w:lang w:val="fr-FR"/>
              </w:rPr>
              <w:t xml:space="preserve">– chimiothérapie, antibiothérapie, </w:t>
            </w:r>
            <w:proofErr w:type="gramStart"/>
            <w:r w:rsidRPr="00004022">
              <w:rPr>
                <w:szCs w:val="16"/>
                <w:lang w:val="fr-FR"/>
              </w:rPr>
              <w:t>immunothérapie intraveineuses</w:t>
            </w:r>
            <w:proofErr w:type="gramEnd"/>
            <w:r w:rsidRPr="00004022">
              <w:rPr>
                <w:szCs w:val="16"/>
                <w:lang w:val="fr-FR"/>
              </w:rPr>
              <w:t xml:space="preserve"> ;</w:t>
            </w:r>
          </w:p>
          <w:p w14:paraId="4A6F7374" w14:textId="77777777" w:rsidR="00537000" w:rsidRPr="00004022" w:rsidRDefault="00537000" w:rsidP="00592E43">
            <w:pPr>
              <w:pStyle w:val="ListParagraph"/>
              <w:ind w:left="0" w:firstLine="338"/>
              <w:jc w:val="both"/>
              <w:rPr>
                <w:szCs w:val="16"/>
                <w:lang w:val="fr-FR"/>
              </w:rPr>
            </w:pPr>
            <w:r w:rsidRPr="00004022">
              <w:rPr>
                <w:szCs w:val="16"/>
                <w:lang w:val="fr-FR"/>
              </w:rPr>
              <w:t>– transfusion de produits et dérivés sanguins cytaphérèse ;</w:t>
            </w:r>
          </w:p>
          <w:p w14:paraId="30AD0B5F" w14:textId="77777777" w:rsidR="00537000" w:rsidRPr="00004022" w:rsidRDefault="00537000" w:rsidP="00592E43">
            <w:pPr>
              <w:pStyle w:val="ListParagraph"/>
              <w:ind w:left="0" w:firstLine="338"/>
              <w:jc w:val="both"/>
              <w:rPr>
                <w:szCs w:val="16"/>
                <w:lang w:val="fr-FR"/>
              </w:rPr>
            </w:pPr>
            <w:r w:rsidRPr="00004022">
              <w:rPr>
                <w:szCs w:val="16"/>
                <w:lang w:val="fr-FR"/>
              </w:rPr>
              <w:t>– traitements et prise en charge de situations spécifiques ;</w:t>
            </w:r>
          </w:p>
          <w:p w14:paraId="799A1A5E" w14:textId="77777777" w:rsidR="00537000" w:rsidRPr="00004022" w:rsidRDefault="00537000" w:rsidP="00592E43">
            <w:pPr>
              <w:pStyle w:val="ListParagraph"/>
              <w:ind w:left="0"/>
              <w:jc w:val="both"/>
              <w:rPr>
                <w:szCs w:val="16"/>
                <w:lang w:val="fr-FR"/>
              </w:rPr>
            </w:pPr>
            <w:r w:rsidRPr="00004022">
              <w:rPr>
                <w:szCs w:val="16"/>
                <w:lang w:val="fr-FR"/>
              </w:rPr>
              <w:t>d) soins de rééducation psychiatrique adulte, juvénile ou infantile ;</w:t>
            </w:r>
          </w:p>
          <w:p w14:paraId="27F286B4" w14:textId="77777777" w:rsidR="00537000" w:rsidRPr="00004022" w:rsidRDefault="00537000" w:rsidP="00592E43">
            <w:pPr>
              <w:pStyle w:val="ListParagraph"/>
              <w:ind w:left="0"/>
              <w:jc w:val="both"/>
              <w:rPr>
                <w:szCs w:val="16"/>
                <w:lang w:val="fr-FR"/>
              </w:rPr>
            </w:pPr>
            <w:r w:rsidRPr="00004022">
              <w:rPr>
                <w:szCs w:val="16"/>
                <w:lang w:val="fr-FR"/>
              </w:rPr>
              <w:t>e) soins de revalidation, y compris gériatrique.</w:t>
            </w:r>
          </w:p>
        </w:tc>
      </w:tr>
      <w:tr w:rsidR="00537000" w:rsidRPr="00F92F9D" w14:paraId="6BEBA442" w14:textId="77777777" w:rsidTr="00592E43">
        <w:trPr>
          <w:trHeight w:val="844"/>
        </w:trPr>
        <w:tc>
          <w:tcPr>
            <w:tcW w:w="1585" w:type="dxa"/>
            <w:vMerge/>
            <w:shd w:val="clear" w:color="auto" w:fill="B7D4EF" w:themeFill="text2" w:themeFillTint="33"/>
          </w:tcPr>
          <w:p w14:paraId="4507D3D0" w14:textId="77777777" w:rsidR="00537000" w:rsidRPr="00E1451F" w:rsidRDefault="00537000" w:rsidP="00592E43">
            <w:pPr>
              <w:pStyle w:val="ListParagraph"/>
              <w:ind w:left="0"/>
              <w:rPr>
                <w:b/>
                <w:color w:val="196B24" w:themeColor="accent3"/>
                <w:u w:val="single"/>
                <w:lang w:val="fr-FR"/>
              </w:rPr>
            </w:pPr>
          </w:p>
        </w:tc>
        <w:tc>
          <w:tcPr>
            <w:tcW w:w="8480" w:type="dxa"/>
          </w:tcPr>
          <w:p w14:paraId="5855BAC9" w14:textId="77777777" w:rsidR="00537000" w:rsidRPr="00E1451F" w:rsidRDefault="00537000" w:rsidP="00592E43">
            <w:pPr>
              <w:jc w:val="both"/>
              <w:rPr>
                <w:szCs w:val="16"/>
                <w:lang w:val="fr-FR"/>
              </w:rPr>
            </w:pPr>
            <w:r w:rsidRPr="00004022">
              <w:rPr>
                <w:b/>
                <w:szCs w:val="16"/>
                <w:lang w:val="fr-FR"/>
              </w:rPr>
              <w:t>Lits</w:t>
            </w:r>
            <w:r>
              <w:rPr>
                <w:b/>
                <w:szCs w:val="16"/>
                <w:lang w:val="fr-FR"/>
              </w:rPr>
              <w:t>-</w:t>
            </w:r>
            <w:r w:rsidRPr="00004022">
              <w:rPr>
                <w:b/>
                <w:szCs w:val="16"/>
                <w:lang w:val="fr-FR"/>
              </w:rPr>
              <w:t>portes</w:t>
            </w:r>
            <w:r w:rsidRPr="00004022">
              <w:rPr>
                <w:szCs w:val="16"/>
                <w:lang w:val="fr-FR"/>
              </w:rPr>
              <w:t xml:space="preserve"> : lits d’hôpital ou places situés dans l’enceinte d’un service d’urgence, exclusivement à la disposition des prises en charge urgentes nécessitant une présence médicale et une présence continue par du personnel soignant spécifiquement qualifié pendant une durée inférieure à 12 heures.</w:t>
            </w:r>
          </w:p>
        </w:tc>
      </w:tr>
      <w:tr w:rsidR="00537000" w:rsidRPr="00F92F9D" w14:paraId="17A7E682" w14:textId="77777777" w:rsidTr="00592E43">
        <w:trPr>
          <w:trHeight w:val="844"/>
        </w:trPr>
        <w:tc>
          <w:tcPr>
            <w:tcW w:w="1585" w:type="dxa"/>
            <w:shd w:val="clear" w:color="auto" w:fill="B7D4EF" w:themeFill="text2" w:themeFillTint="33"/>
          </w:tcPr>
          <w:p w14:paraId="4A095FC1" w14:textId="77777777" w:rsidR="00537000" w:rsidRPr="00E1451F" w:rsidRDefault="00537000" w:rsidP="00592E43">
            <w:pPr>
              <w:pStyle w:val="ListParagraph"/>
              <w:ind w:left="0"/>
              <w:rPr>
                <w:b/>
                <w:color w:val="196B24" w:themeColor="accent3"/>
                <w:u w:val="single"/>
                <w:lang w:val="fr-FR"/>
              </w:rPr>
            </w:pPr>
          </w:p>
        </w:tc>
        <w:tc>
          <w:tcPr>
            <w:tcW w:w="8480" w:type="dxa"/>
          </w:tcPr>
          <w:p w14:paraId="64AB389E" w14:textId="77777777" w:rsidR="00537000" w:rsidRPr="00004022" w:rsidRDefault="00537000" w:rsidP="00592E43">
            <w:pPr>
              <w:jc w:val="both"/>
              <w:rPr>
                <w:b/>
                <w:szCs w:val="16"/>
                <w:lang w:val="fr-FR"/>
              </w:rPr>
            </w:pPr>
            <w:r>
              <w:rPr>
                <w:b/>
                <w:szCs w:val="16"/>
                <w:lang w:val="fr-FR"/>
              </w:rPr>
              <w:t>L</w:t>
            </w:r>
            <w:r w:rsidRPr="00837B4E">
              <w:rPr>
                <w:b/>
                <w:szCs w:val="16"/>
                <w:lang w:val="fr-FR"/>
              </w:rPr>
              <w:t>its de réserve sanitaire</w:t>
            </w:r>
            <w:r>
              <w:rPr>
                <w:rStyle w:val="FootnoteReference"/>
                <w:szCs w:val="16"/>
              </w:rPr>
              <w:footnoteReference w:id="2"/>
            </w:r>
            <w:r>
              <w:rPr>
                <w:b/>
                <w:szCs w:val="16"/>
                <w:lang w:val="fr-FR"/>
              </w:rPr>
              <w:t xml:space="preserve"> : </w:t>
            </w:r>
            <w:r w:rsidRPr="00837B4E">
              <w:rPr>
                <w:bCs/>
                <w:szCs w:val="16"/>
                <w:lang w:val="fr-FR"/>
              </w:rPr>
              <w:t xml:space="preserve">lits hospitaliers aigus ou de moyen </w:t>
            </w:r>
            <w:proofErr w:type="gramStart"/>
            <w:r w:rsidRPr="00837B4E">
              <w:rPr>
                <w:bCs/>
                <w:szCs w:val="16"/>
                <w:lang w:val="fr-FR"/>
              </w:rPr>
              <w:t>séjour dédiés</w:t>
            </w:r>
            <w:proofErr w:type="gramEnd"/>
            <w:r w:rsidRPr="00837B4E">
              <w:rPr>
                <w:bCs/>
                <w:szCs w:val="16"/>
                <w:lang w:val="fr-FR"/>
              </w:rPr>
              <w:t xml:space="preserve"> à la prise en charge de patients dans le cadre d’une crise sanitaire, d’une catastrophe, d’une crise internationale grave, d’une pandémie, d’un acte de terrorisme ou d’un accident de grande envergure, qui nécessite le recours à des compétences, des ressources humaines, des équipements ou des infrastructures spécifiques</w:t>
            </w:r>
            <w:r>
              <w:rPr>
                <w:bCs/>
                <w:szCs w:val="16"/>
                <w:lang w:val="fr-FR"/>
              </w:rPr>
              <w:t>.</w:t>
            </w:r>
          </w:p>
        </w:tc>
      </w:tr>
      <w:tr w:rsidR="00537000" w:rsidRPr="00F92F9D" w14:paraId="18B9DDF2" w14:textId="77777777" w:rsidTr="00592E43">
        <w:trPr>
          <w:trHeight w:val="255"/>
        </w:trPr>
        <w:tc>
          <w:tcPr>
            <w:tcW w:w="1585" w:type="dxa"/>
            <w:shd w:val="clear" w:color="auto" w:fill="B7D4EF" w:themeFill="text2" w:themeFillTint="33"/>
          </w:tcPr>
          <w:p w14:paraId="1F42CC4A" w14:textId="77777777" w:rsidR="00537000" w:rsidRPr="00E1451F" w:rsidRDefault="00537000" w:rsidP="00592E43">
            <w:pPr>
              <w:pStyle w:val="ListParagraph"/>
              <w:ind w:left="0"/>
              <w:rPr>
                <w:b/>
                <w:color w:val="196B24" w:themeColor="accent3"/>
                <w:u w:val="single"/>
                <w:lang w:val="fr-FR"/>
              </w:rPr>
            </w:pPr>
            <w:r w:rsidRPr="00E1451F">
              <w:rPr>
                <w:b/>
                <w:color w:val="196B24" w:themeColor="accent3"/>
                <w:szCs w:val="16"/>
                <w:lang w:val="fr-FR"/>
              </w:rPr>
              <w:t xml:space="preserve">Équipements </w:t>
            </w:r>
          </w:p>
        </w:tc>
        <w:tc>
          <w:tcPr>
            <w:tcW w:w="8480" w:type="dxa"/>
          </w:tcPr>
          <w:p w14:paraId="60A3FC29" w14:textId="77777777" w:rsidR="00537000" w:rsidRDefault="00537000" w:rsidP="00592E43">
            <w:pPr>
              <w:jc w:val="both"/>
              <w:rPr>
                <w:szCs w:val="16"/>
                <w:lang w:val="fr-FR"/>
              </w:rPr>
            </w:pPr>
            <w:r w:rsidRPr="00004022">
              <w:rPr>
                <w:szCs w:val="16"/>
                <w:lang w:val="fr-FR"/>
              </w:rPr>
              <w:t>Les équipements et appareils utilisés en vue d’une prise en charge médicale, qui soit en raison de leur coût</w:t>
            </w:r>
            <w:r w:rsidRPr="00332DFA">
              <w:rPr>
                <w:lang w:val="fr-FR"/>
              </w:rPr>
              <w:t xml:space="preserve"> </w:t>
            </w:r>
            <w:r w:rsidRPr="00004022">
              <w:rPr>
                <w:szCs w:val="16"/>
                <w:lang w:val="fr-FR"/>
              </w:rPr>
              <w:t>dépassant 250</w:t>
            </w:r>
            <w:r>
              <w:rPr>
                <w:szCs w:val="16"/>
                <w:lang w:val="fr-FR"/>
              </w:rPr>
              <w:t> </w:t>
            </w:r>
            <w:r w:rsidRPr="00004022">
              <w:rPr>
                <w:szCs w:val="16"/>
                <w:lang w:val="fr-FR"/>
              </w:rPr>
              <w:t xml:space="preserve">000 euros HTVA valeur à neuf, soit en raison du personnel hautement qualifié que leur utilisation requiert, soit exigeant des conditions d’emploi particulières, sont réservés aux centres hospitaliers sur leurs sites visés à l’article 4. </w:t>
            </w:r>
          </w:p>
          <w:p w14:paraId="0E0DA377" w14:textId="77777777" w:rsidR="00537000" w:rsidRDefault="00537000" w:rsidP="00592E43">
            <w:pPr>
              <w:jc w:val="both"/>
              <w:rPr>
                <w:szCs w:val="16"/>
                <w:lang w:val="fr-FR"/>
              </w:rPr>
            </w:pPr>
          </w:p>
          <w:p w14:paraId="3C44B54B" w14:textId="77777777" w:rsidR="00537000" w:rsidRDefault="00537000" w:rsidP="00592E43">
            <w:pPr>
              <w:jc w:val="both"/>
              <w:rPr>
                <w:szCs w:val="16"/>
                <w:lang w:val="fr-FR"/>
              </w:rPr>
            </w:pPr>
            <w:r>
              <w:rPr>
                <w:szCs w:val="16"/>
                <w:lang w:val="fr-FR"/>
              </w:rPr>
              <w:t>On distingue donc les équipements suivants :</w:t>
            </w:r>
          </w:p>
          <w:p w14:paraId="32EBC667" w14:textId="77777777" w:rsidR="00537000" w:rsidRDefault="00537000" w:rsidP="00592E43">
            <w:pPr>
              <w:pStyle w:val="ListParagraph"/>
              <w:numPr>
                <w:ilvl w:val="0"/>
                <w:numId w:val="29"/>
              </w:numPr>
              <w:ind w:left="295" w:hanging="141"/>
              <w:jc w:val="both"/>
              <w:rPr>
                <w:szCs w:val="16"/>
                <w:lang w:val="fr-FR"/>
              </w:rPr>
            </w:pPr>
            <w:proofErr w:type="gramStart"/>
            <w:r>
              <w:rPr>
                <w:szCs w:val="16"/>
                <w:lang w:val="fr-FR"/>
              </w:rPr>
              <w:t>l</w:t>
            </w:r>
            <w:r w:rsidRPr="005E4723">
              <w:rPr>
                <w:szCs w:val="16"/>
                <w:lang w:val="fr-FR"/>
              </w:rPr>
              <w:t>es</w:t>
            </w:r>
            <w:proofErr w:type="gramEnd"/>
            <w:r w:rsidRPr="005E4723">
              <w:rPr>
                <w:szCs w:val="16"/>
                <w:lang w:val="fr-FR"/>
              </w:rPr>
              <w:t xml:space="preserve"> équipements et appareils utilisés en vue d’une prise en charge médicale nécessitant une planification nationale, du personnel hautement qualifié ou des conditions d’emploi particulières </w:t>
            </w:r>
            <w:r>
              <w:rPr>
                <w:szCs w:val="16"/>
                <w:lang w:val="fr-FR"/>
              </w:rPr>
              <w:t>mentionnés</w:t>
            </w:r>
            <w:r w:rsidRPr="005E4723">
              <w:rPr>
                <w:szCs w:val="16"/>
                <w:lang w:val="fr-FR"/>
              </w:rPr>
              <w:t xml:space="preserve"> à l’annexe 3 :</w:t>
            </w:r>
          </w:p>
          <w:p w14:paraId="1A273430" w14:textId="77777777" w:rsidR="00537000" w:rsidRDefault="00537000" w:rsidP="00592E43">
            <w:pPr>
              <w:pStyle w:val="ListParagraph"/>
              <w:numPr>
                <w:ilvl w:val="1"/>
                <w:numId w:val="29"/>
              </w:numPr>
              <w:ind w:left="1004" w:hanging="142"/>
              <w:jc w:val="both"/>
              <w:rPr>
                <w:szCs w:val="16"/>
                <w:lang w:val="fr-FR"/>
              </w:rPr>
            </w:pPr>
            <w:proofErr w:type="gramStart"/>
            <w:r>
              <w:rPr>
                <w:szCs w:val="16"/>
                <w:lang w:val="fr-FR"/>
              </w:rPr>
              <w:t>l</w:t>
            </w:r>
            <w:r w:rsidRPr="005E4723">
              <w:rPr>
                <w:szCs w:val="16"/>
                <w:lang w:val="fr-FR"/>
              </w:rPr>
              <w:t>es</w:t>
            </w:r>
            <w:proofErr w:type="gramEnd"/>
            <w:r w:rsidRPr="005E4723">
              <w:rPr>
                <w:szCs w:val="16"/>
                <w:lang w:val="fr-FR"/>
              </w:rPr>
              <w:t xml:space="preserve"> équipements et appareils utilisés en vue d’une prise en charge médicale nécessitant une planification nationale soumis à autorisation ministérielle, </w:t>
            </w:r>
            <w:r>
              <w:rPr>
                <w:szCs w:val="16"/>
                <w:lang w:val="fr-FR"/>
              </w:rPr>
              <w:t>disposant d’</w:t>
            </w:r>
            <w:r w:rsidRPr="005E4723">
              <w:rPr>
                <w:szCs w:val="16"/>
                <w:lang w:val="fr-FR"/>
              </w:rPr>
              <w:t xml:space="preserve">un nombre </w:t>
            </w:r>
            <w:r>
              <w:rPr>
                <w:szCs w:val="16"/>
                <w:lang w:val="fr-FR"/>
              </w:rPr>
              <w:t>national limitatif</w:t>
            </w:r>
            <w:r w:rsidRPr="005E4723">
              <w:rPr>
                <w:szCs w:val="16"/>
                <w:lang w:val="fr-FR"/>
              </w:rPr>
              <w:t xml:space="preserve"> et subventionnables à 80%</w:t>
            </w:r>
            <w:r>
              <w:rPr>
                <w:szCs w:val="16"/>
                <w:lang w:val="fr-FR"/>
              </w:rPr>
              <w:t>,</w:t>
            </w:r>
          </w:p>
          <w:p w14:paraId="6D09D5F3" w14:textId="77777777" w:rsidR="00537000" w:rsidRDefault="00537000" w:rsidP="00592E43">
            <w:pPr>
              <w:pStyle w:val="ListParagraph"/>
              <w:numPr>
                <w:ilvl w:val="1"/>
                <w:numId w:val="29"/>
              </w:numPr>
              <w:ind w:left="1004" w:hanging="153"/>
              <w:jc w:val="both"/>
              <w:rPr>
                <w:szCs w:val="16"/>
                <w:lang w:val="fr-FR"/>
              </w:rPr>
            </w:pPr>
            <w:proofErr w:type="gramStart"/>
            <w:r>
              <w:rPr>
                <w:szCs w:val="16"/>
                <w:lang w:val="fr-FR"/>
              </w:rPr>
              <w:t>les</w:t>
            </w:r>
            <w:proofErr w:type="gramEnd"/>
            <w:r>
              <w:rPr>
                <w:szCs w:val="16"/>
                <w:lang w:val="fr-FR"/>
              </w:rPr>
              <w:t xml:space="preserve"> équipements nécessitant du personnel hautement qualifié ou des conditions d’emploi particulière, soumis à autorisation ministérielle.</w:t>
            </w:r>
          </w:p>
          <w:p w14:paraId="2D61B42E" w14:textId="77777777" w:rsidR="00537000" w:rsidRPr="005E4723" w:rsidRDefault="00537000" w:rsidP="00592E43">
            <w:pPr>
              <w:pStyle w:val="ListParagraph"/>
              <w:numPr>
                <w:ilvl w:val="0"/>
                <w:numId w:val="29"/>
              </w:numPr>
              <w:ind w:left="295" w:hanging="142"/>
              <w:jc w:val="both"/>
              <w:rPr>
                <w:szCs w:val="16"/>
                <w:lang w:val="fr-FR"/>
              </w:rPr>
            </w:pPr>
            <w:proofErr w:type="gramStart"/>
            <w:r>
              <w:rPr>
                <w:szCs w:val="16"/>
                <w:lang w:val="fr-FR"/>
              </w:rPr>
              <w:t>les</w:t>
            </w:r>
            <w:proofErr w:type="gramEnd"/>
            <w:r>
              <w:rPr>
                <w:szCs w:val="16"/>
                <w:lang w:val="fr-FR"/>
              </w:rPr>
              <w:t xml:space="preserve"> équipements, dont le coût dépasse 250 000 euros HTVA valeur à neuf, soumis à autorisation ministérielle, qui ne sont pas limités et ne sont pas subventionnables.</w:t>
            </w:r>
          </w:p>
          <w:p w14:paraId="184A0794" w14:textId="77777777" w:rsidR="00537000" w:rsidRPr="00004022" w:rsidRDefault="00537000" w:rsidP="00592E43">
            <w:pPr>
              <w:jc w:val="both"/>
              <w:rPr>
                <w:szCs w:val="16"/>
                <w:lang w:val="fr-FR"/>
              </w:rPr>
            </w:pPr>
          </w:p>
          <w:p w14:paraId="6B117B73" w14:textId="77777777" w:rsidR="00537000" w:rsidRPr="00F40D78" w:rsidRDefault="00537000" w:rsidP="00592E43">
            <w:pPr>
              <w:jc w:val="both"/>
              <w:rPr>
                <w:szCs w:val="16"/>
                <w:lang w:val="fr-FR"/>
              </w:rPr>
            </w:pPr>
            <w:r w:rsidRPr="00004022">
              <w:rPr>
                <w:szCs w:val="16"/>
                <w:lang w:val="fr-FR"/>
              </w:rPr>
              <w:t>Ne sont pas visés, les laboratoires d’analyses médicales au sens de la loi modifiée du 16 juillet 1984 relative aux laboratoires d’analyses médicales.</w:t>
            </w:r>
          </w:p>
        </w:tc>
      </w:tr>
      <w:bookmarkEnd w:id="12"/>
    </w:tbl>
    <w:p w14:paraId="2D84476F" w14:textId="77777777" w:rsidR="00537000" w:rsidRDefault="00537000" w:rsidP="00537000">
      <w:pPr>
        <w:rPr>
          <w:b/>
          <w:u w:val="single"/>
          <w:lang w:val="fr-FR"/>
        </w:rPr>
      </w:pPr>
      <w:r>
        <w:rPr>
          <w:b/>
          <w:u w:val="single"/>
          <w:lang w:val="fr-FR"/>
        </w:rPr>
        <w:br w:type="page"/>
      </w:r>
    </w:p>
    <w:p w14:paraId="46B541D8" w14:textId="77777777" w:rsidR="00537000" w:rsidRPr="008E2E79" w:rsidRDefault="00537000" w:rsidP="00537000">
      <w:pPr>
        <w:rPr>
          <w:rFonts w:cstheme="minorHAnsi"/>
          <w:szCs w:val="20"/>
          <w:u w:val="single"/>
          <w:lang w:val="fr-FR"/>
        </w:rPr>
      </w:pPr>
      <w:r w:rsidRPr="00004022">
        <w:rPr>
          <w:b/>
          <w:u w:val="single"/>
          <w:lang w:val="fr-FR"/>
        </w:rPr>
        <w:t>Variables et indicateurs</w:t>
      </w:r>
      <w:r w:rsidRPr="008E2E79">
        <w:rPr>
          <w:u w:val="single"/>
          <w:lang w:val="fr-FR"/>
        </w:rPr>
        <w:t xml:space="preserve"> </w:t>
      </w:r>
      <w:r w:rsidRPr="008E2E79">
        <w:rPr>
          <w:b/>
          <w:u w:val="single"/>
          <w:lang w:val="fr-FR"/>
        </w:rPr>
        <w:t>:</w:t>
      </w:r>
      <w:r w:rsidRPr="00004022">
        <w:rPr>
          <w:b/>
          <w:u w:val="single"/>
          <w:lang w:val="fr-FR"/>
        </w:rPr>
        <w:t xml:space="preserve"> </w:t>
      </w:r>
    </w:p>
    <w:p w14:paraId="32ABD11D" w14:textId="77777777" w:rsidR="00537000" w:rsidRPr="00004022" w:rsidRDefault="00537000" w:rsidP="00537000">
      <w:pPr>
        <w:rPr>
          <w:b/>
          <w:u w:val="single"/>
          <w:lang w:val="fr-FR"/>
        </w:rPr>
      </w:pPr>
    </w:p>
    <w:tbl>
      <w:tblPr>
        <w:tblW w:w="10065" w:type="dxa"/>
        <w:tblInd w:w="-567" w:type="dxa"/>
        <w:tblBorders>
          <w:bottom w:val="single" w:sz="4" w:space="0" w:color="999999" w:themeColor="text1" w:themeTint="66"/>
          <w:insideH w:val="single" w:sz="4" w:space="0" w:color="999999" w:themeColor="text1" w:themeTint="66"/>
          <w:insideV w:val="single" w:sz="4" w:space="0" w:color="999999" w:themeColor="text1" w:themeTint="66"/>
        </w:tblBorders>
        <w:tblLayout w:type="fixed"/>
        <w:tblLook w:val="04A0" w:firstRow="1" w:lastRow="0" w:firstColumn="1" w:lastColumn="0" w:noHBand="0" w:noVBand="1"/>
      </w:tblPr>
      <w:tblGrid>
        <w:gridCol w:w="1418"/>
        <w:gridCol w:w="8647"/>
      </w:tblGrid>
      <w:tr w:rsidR="00537000" w:rsidRPr="00F92F9D" w14:paraId="67A12087" w14:textId="77777777" w:rsidTr="00592E43">
        <w:tc>
          <w:tcPr>
            <w:tcW w:w="1418" w:type="dxa"/>
            <w:vMerge w:val="restart"/>
            <w:shd w:val="clear" w:color="auto" w:fill="B7D4EF" w:themeFill="text2" w:themeFillTint="33"/>
          </w:tcPr>
          <w:p w14:paraId="0482109E" w14:textId="77777777" w:rsidR="00537000" w:rsidRPr="00E1451F" w:rsidRDefault="00537000" w:rsidP="00592E43">
            <w:pPr>
              <w:rPr>
                <w:b/>
                <w:color w:val="196B24" w:themeColor="accent3"/>
                <w:u w:val="single"/>
                <w:lang w:val="fr-FR"/>
              </w:rPr>
            </w:pPr>
            <w:bookmarkStart w:id="13" w:name="_Hlk32348757"/>
            <w:r w:rsidRPr="00E1451F">
              <w:rPr>
                <w:rFonts w:cstheme="minorHAnsi"/>
                <w:b/>
                <w:color w:val="196B24" w:themeColor="accent3"/>
                <w:szCs w:val="20"/>
                <w:lang w:val="fr-FR"/>
              </w:rPr>
              <w:t>Séjour hospitalier </w:t>
            </w:r>
          </w:p>
        </w:tc>
        <w:tc>
          <w:tcPr>
            <w:tcW w:w="8647" w:type="dxa"/>
          </w:tcPr>
          <w:p w14:paraId="0CC43107" w14:textId="77777777" w:rsidR="00537000" w:rsidRPr="00004022" w:rsidRDefault="00537000" w:rsidP="00592E43">
            <w:pPr>
              <w:jc w:val="both"/>
              <w:rPr>
                <w:rFonts w:cstheme="minorHAnsi"/>
                <w:b/>
                <w:szCs w:val="20"/>
                <w:lang w:val="fr-FR"/>
              </w:rPr>
            </w:pPr>
            <w:r w:rsidRPr="00004022">
              <w:rPr>
                <w:rFonts w:cstheme="minorHAnsi"/>
                <w:szCs w:val="20"/>
                <w:lang w:val="fr-FR"/>
              </w:rPr>
              <w:t>Un séjour hospitalier correspond à une</w:t>
            </w:r>
            <w:r w:rsidRPr="00004022">
              <w:rPr>
                <w:rFonts w:cstheme="minorHAnsi"/>
                <w:b/>
                <w:szCs w:val="20"/>
                <w:lang w:val="fr-FR"/>
              </w:rPr>
              <w:t xml:space="preserve"> hospitalisation de jour ou à une hospitalisation stationnaire (complète)</w:t>
            </w:r>
            <w:r>
              <w:rPr>
                <w:rFonts w:cstheme="minorHAnsi"/>
                <w:b/>
                <w:szCs w:val="20"/>
                <w:lang w:val="fr-FR"/>
              </w:rPr>
              <w:t>.</w:t>
            </w:r>
          </w:p>
          <w:p w14:paraId="5D9992C9" w14:textId="77777777" w:rsidR="00537000" w:rsidRPr="00004022" w:rsidRDefault="00537000" w:rsidP="00592E43">
            <w:pPr>
              <w:rPr>
                <w:b/>
                <w:u w:val="single"/>
                <w:lang w:val="fr-FR"/>
              </w:rPr>
            </w:pPr>
          </w:p>
        </w:tc>
      </w:tr>
      <w:tr w:rsidR="00537000" w:rsidRPr="00F92F9D" w14:paraId="2D3B4E6E" w14:textId="77777777" w:rsidTr="00592E43">
        <w:tc>
          <w:tcPr>
            <w:tcW w:w="1418" w:type="dxa"/>
            <w:vMerge/>
            <w:shd w:val="clear" w:color="auto" w:fill="B7D4EF" w:themeFill="text2" w:themeFillTint="33"/>
          </w:tcPr>
          <w:p w14:paraId="2B69D062" w14:textId="77777777" w:rsidR="00537000" w:rsidRPr="00E1451F" w:rsidRDefault="00537000" w:rsidP="00592E43">
            <w:pPr>
              <w:rPr>
                <w:b/>
                <w:color w:val="196B24" w:themeColor="accent3"/>
                <w:u w:val="single"/>
                <w:lang w:val="fr-FR"/>
              </w:rPr>
            </w:pPr>
          </w:p>
        </w:tc>
        <w:tc>
          <w:tcPr>
            <w:tcW w:w="8647" w:type="dxa"/>
          </w:tcPr>
          <w:p w14:paraId="156C0450" w14:textId="77777777" w:rsidR="00537000" w:rsidRPr="00004022" w:rsidRDefault="00537000" w:rsidP="00592E43">
            <w:pPr>
              <w:jc w:val="both"/>
              <w:rPr>
                <w:rFonts w:cstheme="minorHAnsi"/>
                <w:b/>
                <w:szCs w:val="20"/>
                <w:lang w:val="fr-FR"/>
              </w:rPr>
            </w:pPr>
            <w:r w:rsidRPr="00004022">
              <w:rPr>
                <w:rFonts w:cstheme="minorHAnsi"/>
                <w:szCs w:val="20"/>
                <w:lang w:val="fr-FR"/>
              </w:rPr>
              <w:t xml:space="preserve">Les </w:t>
            </w:r>
            <w:r w:rsidRPr="00004022">
              <w:rPr>
                <w:rFonts w:cstheme="minorHAnsi"/>
                <w:b/>
                <w:szCs w:val="20"/>
                <w:lang w:val="fr-FR"/>
              </w:rPr>
              <w:t>hospitalisations stationnaires (complètes)</w:t>
            </w:r>
            <w:r w:rsidRPr="00004022">
              <w:rPr>
                <w:rFonts w:cstheme="minorHAnsi"/>
                <w:szCs w:val="20"/>
                <w:lang w:val="fr-FR"/>
              </w:rPr>
              <w:t xml:space="preserve"> comportent au moins une nuitée, c’est-à-dire une présence à minuit.</w:t>
            </w:r>
          </w:p>
          <w:p w14:paraId="6BEE3A31" w14:textId="77777777" w:rsidR="00537000" w:rsidRPr="00004022" w:rsidRDefault="00537000" w:rsidP="00592E43">
            <w:pPr>
              <w:rPr>
                <w:b/>
                <w:u w:val="single"/>
                <w:lang w:val="fr-FR"/>
              </w:rPr>
            </w:pPr>
          </w:p>
        </w:tc>
      </w:tr>
      <w:tr w:rsidR="00537000" w:rsidRPr="00F92F9D" w14:paraId="1B08CB57" w14:textId="77777777" w:rsidTr="00592E43">
        <w:tc>
          <w:tcPr>
            <w:tcW w:w="1418" w:type="dxa"/>
            <w:vMerge/>
            <w:shd w:val="clear" w:color="auto" w:fill="B7D4EF" w:themeFill="text2" w:themeFillTint="33"/>
          </w:tcPr>
          <w:p w14:paraId="573CA9B3" w14:textId="77777777" w:rsidR="00537000" w:rsidRPr="00E1451F" w:rsidRDefault="00537000" w:rsidP="00592E43">
            <w:pPr>
              <w:rPr>
                <w:b/>
                <w:color w:val="196B24" w:themeColor="accent3"/>
                <w:u w:val="single"/>
                <w:lang w:val="fr-FR"/>
              </w:rPr>
            </w:pPr>
          </w:p>
        </w:tc>
        <w:tc>
          <w:tcPr>
            <w:tcW w:w="8647" w:type="dxa"/>
          </w:tcPr>
          <w:p w14:paraId="4D472CC4" w14:textId="77777777" w:rsidR="00537000" w:rsidRPr="00004022" w:rsidRDefault="00537000" w:rsidP="00592E43">
            <w:pPr>
              <w:jc w:val="both"/>
              <w:rPr>
                <w:rFonts w:cstheme="minorHAnsi"/>
                <w:b/>
                <w:szCs w:val="20"/>
                <w:lang w:val="fr-FR"/>
              </w:rPr>
            </w:pPr>
            <w:r w:rsidRPr="00004022">
              <w:rPr>
                <w:rFonts w:cstheme="minorHAnsi"/>
                <w:szCs w:val="20"/>
                <w:lang w:val="fr-FR"/>
              </w:rPr>
              <w:t xml:space="preserve">Les </w:t>
            </w:r>
            <w:r w:rsidRPr="00004022">
              <w:rPr>
                <w:rFonts w:cstheme="minorHAnsi"/>
                <w:b/>
                <w:szCs w:val="20"/>
                <w:lang w:val="fr-FR"/>
              </w:rPr>
              <w:t>hospitalisations de jour</w:t>
            </w:r>
            <w:r w:rsidRPr="00004022">
              <w:rPr>
                <w:rFonts w:cstheme="minorHAnsi"/>
                <w:szCs w:val="20"/>
                <w:lang w:val="fr-FR"/>
              </w:rPr>
              <w:t xml:space="preserve"> (sans présence à minuit) regroupent : </w:t>
            </w:r>
          </w:p>
          <w:p w14:paraId="3E8D34E5" w14:textId="77777777" w:rsidR="00537000" w:rsidRPr="00004022" w:rsidRDefault="00537000" w:rsidP="00592E43">
            <w:pPr>
              <w:pStyle w:val="ListParagraph"/>
              <w:numPr>
                <w:ilvl w:val="1"/>
                <w:numId w:val="4"/>
              </w:numPr>
              <w:ind w:left="360"/>
              <w:jc w:val="both"/>
              <w:rPr>
                <w:rFonts w:cstheme="minorHAnsi"/>
                <w:szCs w:val="20"/>
                <w:lang w:val="fr-FR"/>
              </w:rPr>
            </w:pPr>
            <w:proofErr w:type="gramStart"/>
            <w:r w:rsidRPr="00004022">
              <w:rPr>
                <w:rFonts w:cstheme="minorHAnsi"/>
                <w:szCs w:val="20"/>
                <w:lang w:val="fr-FR"/>
              </w:rPr>
              <w:t>les</w:t>
            </w:r>
            <w:proofErr w:type="gramEnd"/>
            <w:r w:rsidRPr="00004022">
              <w:rPr>
                <w:rFonts w:cstheme="minorHAnsi"/>
                <w:szCs w:val="20"/>
                <w:lang w:val="fr-FR"/>
              </w:rPr>
              <w:t xml:space="preserve"> </w:t>
            </w:r>
            <w:r w:rsidRPr="00004022">
              <w:rPr>
                <w:rFonts w:cstheme="minorHAnsi"/>
                <w:b/>
                <w:szCs w:val="20"/>
                <w:lang w:val="fr-FR"/>
              </w:rPr>
              <w:t>hospitalisations de jour proprement dites</w:t>
            </w:r>
            <w:r w:rsidRPr="00004022">
              <w:rPr>
                <w:rFonts w:cstheme="minorHAnsi"/>
                <w:szCs w:val="20"/>
                <w:lang w:val="fr-FR"/>
              </w:rPr>
              <w:t> : avec admission à l’hôpital et sortie le même jour (ESMJ - entrée et sortie le même jour, sans présence à minuit)</w:t>
            </w:r>
          </w:p>
          <w:p w14:paraId="4A32F8ED" w14:textId="77777777" w:rsidR="00537000" w:rsidRPr="00004022" w:rsidRDefault="00537000" w:rsidP="00592E43">
            <w:pPr>
              <w:pStyle w:val="ListParagraph"/>
              <w:numPr>
                <w:ilvl w:val="1"/>
                <w:numId w:val="4"/>
              </w:numPr>
              <w:ind w:left="360"/>
              <w:jc w:val="both"/>
              <w:rPr>
                <w:rFonts w:cstheme="minorHAnsi"/>
                <w:szCs w:val="20"/>
                <w:lang w:val="fr-FR"/>
              </w:rPr>
            </w:pPr>
            <w:proofErr w:type="gramStart"/>
            <w:r w:rsidRPr="00004022">
              <w:rPr>
                <w:rFonts w:cstheme="minorHAnsi"/>
                <w:szCs w:val="20"/>
                <w:lang w:val="fr-FR"/>
              </w:rPr>
              <w:t>l’</w:t>
            </w:r>
            <w:r w:rsidRPr="00004022">
              <w:rPr>
                <w:rFonts w:cstheme="minorHAnsi"/>
                <w:b/>
                <w:szCs w:val="20"/>
                <w:lang w:val="fr-FR"/>
              </w:rPr>
              <w:t>activité</w:t>
            </w:r>
            <w:proofErr w:type="gramEnd"/>
            <w:r w:rsidRPr="00004022">
              <w:rPr>
                <w:rFonts w:cstheme="minorHAnsi"/>
                <w:b/>
                <w:szCs w:val="20"/>
                <w:lang w:val="fr-FR"/>
              </w:rPr>
              <w:t xml:space="preserve"> réalisée dans les places de surveillance ambulatoire</w:t>
            </w:r>
            <w:r w:rsidRPr="00004022">
              <w:rPr>
                <w:rFonts w:cstheme="minorHAnsi"/>
                <w:szCs w:val="20"/>
                <w:lang w:val="fr-FR"/>
              </w:rPr>
              <w:t xml:space="preserve"> (PSA) avant 2019 et les passages en hôpital de jour chirurgical, non</w:t>
            </w:r>
            <w:r>
              <w:rPr>
                <w:rFonts w:cstheme="minorHAnsi"/>
                <w:szCs w:val="20"/>
                <w:lang w:val="fr-FR"/>
              </w:rPr>
              <w:t>-</w:t>
            </w:r>
            <w:r w:rsidRPr="00004022">
              <w:rPr>
                <w:rFonts w:cstheme="minorHAnsi"/>
                <w:szCs w:val="20"/>
                <w:lang w:val="fr-FR"/>
              </w:rPr>
              <w:t>chirurgical et pédiatrique pour les années 2019</w:t>
            </w:r>
            <w:r>
              <w:rPr>
                <w:rFonts w:cstheme="minorHAnsi"/>
                <w:szCs w:val="20"/>
                <w:lang w:val="fr-FR"/>
              </w:rPr>
              <w:t xml:space="preserve"> à 2022</w:t>
            </w:r>
            <w:r w:rsidRPr="00004022">
              <w:rPr>
                <w:rFonts w:cstheme="minorHAnsi"/>
                <w:szCs w:val="20"/>
                <w:lang w:val="fr-FR"/>
              </w:rPr>
              <w:t>.</w:t>
            </w:r>
          </w:p>
          <w:p w14:paraId="20847DBB" w14:textId="77777777" w:rsidR="00537000" w:rsidRPr="00004022" w:rsidRDefault="00537000" w:rsidP="00592E43">
            <w:pPr>
              <w:pStyle w:val="ListParagraph"/>
              <w:ind w:left="360"/>
              <w:jc w:val="both"/>
              <w:rPr>
                <w:rFonts w:cstheme="minorHAnsi"/>
                <w:i/>
                <w:szCs w:val="20"/>
                <w:lang w:val="fr-FR"/>
              </w:rPr>
            </w:pPr>
          </w:p>
          <w:p w14:paraId="15D83C6A" w14:textId="77777777" w:rsidR="00537000" w:rsidRPr="00781E53" w:rsidRDefault="00537000" w:rsidP="00592E43">
            <w:pPr>
              <w:jc w:val="both"/>
              <w:rPr>
                <w:rFonts w:cstheme="minorHAnsi"/>
                <w:szCs w:val="20"/>
                <w:lang w:val="fr-FR"/>
              </w:rPr>
            </w:pPr>
            <w:r w:rsidRPr="00781E53">
              <w:rPr>
                <w:rFonts w:cstheme="minorHAnsi"/>
                <w:szCs w:val="20"/>
                <w:lang w:val="fr-FR"/>
              </w:rPr>
              <w:t xml:space="preserve">Les places de surveillance ambulatoire sont les emplacements (fauteuils, lits ou brancards) situés en dehors des unités d’hospitalisation et à proximité d’un plateau médico-technique permettant d’accueillir un patient </w:t>
            </w:r>
            <w:proofErr w:type="gramStart"/>
            <w:r w:rsidRPr="00781E53">
              <w:rPr>
                <w:rFonts w:cstheme="minorHAnsi"/>
                <w:szCs w:val="20"/>
                <w:lang w:val="fr-FR"/>
              </w:rPr>
              <w:t>suite à un</w:t>
            </w:r>
            <w:proofErr w:type="gramEnd"/>
            <w:r w:rsidRPr="00781E53">
              <w:rPr>
                <w:rFonts w:cstheme="minorHAnsi"/>
                <w:szCs w:val="20"/>
                <w:lang w:val="fr-FR"/>
              </w:rPr>
              <w:t xml:space="preserve"> acte médico-technique ou un traitement réalisé en ambulatoire avec une admission formelle. Ces places ne sont pas définies dans le Plan Hospitalier 2009 ni dans la loi hospitalière de 2018 mais étaient négociées entre la CNS et l’hôpital lors de la négociation budgétaire.</w:t>
            </w:r>
          </w:p>
          <w:p w14:paraId="23925AF1" w14:textId="77777777" w:rsidR="00537000" w:rsidRPr="00781E53" w:rsidRDefault="00537000" w:rsidP="00592E43">
            <w:pPr>
              <w:jc w:val="both"/>
              <w:rPr>
                <w:rFonts w:cstheme="minorHAnsi"/>
                <w:szCs w:val="20"/>
                <w:lang w:val="fr-FR"/>
              </w:rPr>
            </w:pPr>
            <w:r w:rsidRPr="00781E53">
              <w:rPr>
                <w:rFonts w:cstheme="minorHAnsi"/>
                <w:szCs w:val="20"/>
                <w:lang w:val="fr-FR"/>
              </w:rPr>
              <w:t>La loi hospitalière de 2018 définit uniquement, dans son annexe 2, l’hôpital de jour comme un service faisant l’objet de dispositions organisationnelles et fonctionnelles distinctes, où sont dispensées des prestations de soins programmées dont la durée n’excède pas douze heures et qui ne donnent pas lieu à une nuitée.</w:t>
            </w:r>
          </w:p>
          <w:p w14:paraId="40B79E60" w14:textId="77777777" w:rsidR="00537000" w:rsidRDefault="00537000" w:rsidP="00592E43">
            <w:pPr>
              <w:pStyle w:val="CommentText"/>
            </w:pPr>
            <w:r w:rsidRPr="00781E53">
              <w:t>A partir de 2019, la convention CNS-FHL supprime les unités d’œuvre de PSA et les remplace par de nouvelles unités d’œuvre pour mesurer l’activité d’hôpital de jour (HDJ) : HDJ pédiatrique, HDJ chirurgical</w:t>
            </w:r>
            <w:r>
              <w:t>e</w:t>
            </w:r>
            <w:r w:rsidRPr="00781E53">
              <w:t>, HDJ non</w:t>
            </w:r>
            <w:r>
              <w:t>-</w:t>
            </w:r>
            <w:r w:rsidRPr="00781E53">
              <w:t>chirurgical</w:t>
            </w:r>
            <w:r>
              <w:t>e</w:t>
            </w:r>
            <w:r w:rsidRPr="00781E53">
              <w:t xml:space="preserve">. </w:t>
            </w:r>
          </w:p>
          <w:p w14:paraId="5F43A602" w14:textId="77777777" w:rsidR="00537000" w:rsidRPr="00FA072B" w:rsidRDefault="00537000" w:rsidP="00592E43">
            <w:pPr>
              <w:pStyle w:val="CommentText"/>
            </w:pPr>
            <w:r w:rsidRPr="00FA072B">
              <w:t xml:space="preserve">(Convention conclue entre la CNS et la FHL en exécution de l’article 75 et suivants du Code de la sécurité sociale, applicable au 01.02.2026 : </w:t>
            </w:r>
          </w:p>
          <w:p w14:paraId="41449276" w14:textId="77777777" w:rsidR="00537000" w:rsidRPr="00351F9B" w:rsidRDefault="00537000" w:rsidP="00592E43">
            <w:pPr>
              <w:jc w:val="both"/>
              <w:rPr>
                <w:rFonts w:cs="Helvetica"/>
                <w:i/>
                <w:color w:val="A02B93" w:themeColor="accent5"/>
                <w:sz w:val="16"/>
                <w:szCs w:val="16"/>
              </w:rPr>
            </w:pPr>
            <w:hyperlink r:id="rId7" w:history="1">
              <w:r>
                <w:rPr>
                  <w:rStyle w:val="Hyperlink"/>
                  <w:i/>
                  <w:color w:val="A02B93" w:themeColor="accent5"/>
                  <w:sz w:val="16"/>
                  <w:szCs w:val="16"/>
                </w:rPr>
                <w:t>https://cns.public.lu/dam-assets/legislations/convention/convention-cns-fhl-version-coordonne-au-01022026.pdf</w:t>
              </w:r>
            </w:hyperlink>
            <w:hyperlink w:history="1"/>
            <w:r w:rsidRPr="00FA072B">
              <w:rPr>
                <w:rFonts w:cs="Helvetica"/>
                <w:i/>
                <w:sz w:val="16"/>
                <w:szCs w:val="16"/>
              </w:rPr>
              <w:t>)</w:t>
            </w:r>
            <w:r w:rsidRPr="00351F9B">
              <w:rPr>
                <w:rFonts w:cs="Helvetica"/>
                <w:color w:val="A02B93" w:themeColor="accent5"/>
                <w:sz w:val="16"/>
                <w:szCs w:val="16"/>
              </w:rPr>
              <w:t xml:space="preserve"> </w:t>
            </w:r>
          </w:p>
          <w:p w14:paraId="7EB39CBE" w14:textId="77777777" w:rsidR="00537000" w:rsidRDefault="00537000" w:rsidP="00592E43">
            <w:pPr>
              <w:jc w:val="both"/>
              <w:rPr>
                <w:rFonts w:cstheme="minorHAnsi"/>
                <w:szCs w:val="20"/>
                <w:lang w:val="fr-FR"/>
              </w:rPr>
            </w:pPr>
            <w:r w:rsidRPr="00A06A22">
              <w:rPr>
                <w:rFonts w:cstheme="minorHAnsi"/>
                <w:szCs w:val="20"/>
                <w:lang w:val="fr-FR"/>
              </w:rPr>
              <w:t>L’activité réalisée en PSA est incluse car certains établissements hospitalisent dans des lits et d’autres dans des places de surveillance pour le même type d’activité selon que les établissements ont ou non des places de surveillance négociées avec la CNS.</w:t>
            </w:r>
          </w:p>
          <w:p w14:paraId="4B912A18" w14:textId="77777777" w:rsidR="00537000" w:rsidRPr="00004022" w:rsidRDefault="00537000" w:rsidP="00592E43">
            <w:pPr>
              <w:jc w:val="both"/>
              <w:rPr>
                <w:rFonts w:cstheme="minorHAnsi"/>
                <w:szCs w:val="20"/>
                <w:lang w:val="fr-FR"/>
              </w:rPr>
            </w:pPr>
          </w:p>
        </w:tc>
      </w:tr>
      <w:tr w:rsidR="00537000" w:rsidRPr="00F92F9D" w14:paraId="4BE4DCE6" w14:textId="77777777" w:rsidTr="00592E43">
        <w:tc>
          <w:tcPr>
            <w:tcW w:w="1418" w:type="dxa"/>
            <w:vMerge/>
            <w:shd w:val="clear" w:color="auto" w:fill="B7D4EF" w:themeFill="text2" w:themeFillTint="33"/>
          </w:tcPr>
          <w:p w14:paraId="3B6D7C4E" w14:textId="77777777" w:rsidR="00537000" w:rsidRPr="00E1451F" w:rsidRDefault="00537000" w:rsidP="00592E43">
            <w:pPr>
              <w:rPr>
                <w:b/>
                <w:color w:val="196B24" w:themeColor="accent3"/>
                <w:u w:val="single"/>
                <w:lang w:val="fr-FR"/>
              </w:rPr>
            </w:pPr>
          </w:p>
        </w:tc>
        <w:tc>
          <w:tcPr>
            <w:tcW w:w="8647" w:type="dxa"/>
          </w:tcPr>
          <w:p w14:paraId="7246A2E9" w14:textId="77777777" w:rsidR="00537000" w:rsidRPr="00004022" w:rsidRDefault="00537000" w:rsidP="00592E43">
            <w:pPr>
              <w:pStyle w:val="ListParagraph"/>
              <w:ind w:left="0"/>
              <w:jc w:val="both"/>
              <w:rPr>
                <w:rFonts w:cstheme="minorHAnsi"/>
                <w:szCs w:val="20"/>
                <w:lang w:val="fr-FR"/>
              </w:rPr>
            </w:pPr>
            <w:r w:rsidRPr="00004022">
              <w:rPr>
                <w:rFonts w:cstheme="minorHAnsi"/>
                <w:szCs w:val="20"/>
                <w:u w:val="single"/>
                <w:lang w:val="fr-FR"/>
              </w:rPr>
              <w:t>Remarques</w:t>
            </w:r>
            <w:r w:rsidRPr="00004022">
              <w:rPr>
                <w:rFonts w:cstheme="minorHAnsi"/>
                <w:szCs w:val="20"/>
                <w:lang w:val="fr-FR"/>
              </w:rPr>
              <w:t xml:space="preserve"> : </w:t>
            </w:r>
          </w:p>
          <w:p w14:paraId="1AE4B809" w14:textId="77777777" w:rsidR="00537000" w:rsidRPr="00004022" w:rsidRDefault="00537000" w:rsidP="00592E43">
            <w:pPr>
              <w:pStyle w:val="ListParagraph"/>
              <w:numPr>
                <w:ilvl w:val="1"/>
                <w:numId w:val="4"/>
              </w:numPr>
              <w:ind w:left="720"/>
              <w:jc w:val="both"/>
              <w:rPr>
                <w:rFonts w:cstheme="minorHAnsi"/>
                <w:szCs w:val="20"/>
                <w:lang w:val="fr-FR"/>
              </w:rPr>
            </w:pPr>
            <w:r w:rsidRPr="00004022">
              <w:rPr>
                <w:rFonts w:cstheme="minorHAnsi"/>
                <w:szCs w:val="20"/>
                <w:lang w:val="fr-FR"/>
              </w:rPr>
              <w:t xml:space="preserve">Les prestations en policlinique ne sont pas considérées comme une journée prestée à l’hôpital. </w:t>
            </w:r>
          </w:p>
          <w:p w14:paraId="5375009E" w14:textId="77777777" w:rsidR="00537000" w:rsidRPr="00004022" w:rsidRDefault="00537000" w:rsidP="00592E43">
            <w:pPr>
              <w:pStyle w:val="ListParagraph"/>
              <w:numPr>
                <w:ilvl w:val="1"/>
                <w:numId w:val="4"/>
              </w:numPr>
              <w:ind w:left="720"/>
              <w:jc w:val="both"/>
              <w:rPr>
                <w:rFonts w:cstheme="minorHAnsi"/>
                <w:szCs w:val="20"/>
                <w:lang w:val="fr-FR"/>
              </w:rPr>
            </w:pPr>
            <w:r w:rsidRPr="00004022">
              <w:rPr>
                <w:rFonts w:cstheme="minorHAnsi"/>
                <w:szCs w:val="20"/>
                <w:lang w:val="fr-FR"/>
              </w:rPr>
              <w:t xml:space="preserve">Pour les hospitalisations complètes (avec nuitée), le jour de sortie n’est pas encodé comme une journée prestée. Ainsi une opération avec sortie le lendemain ne constitue qu’une seule journée. </w:t>
            </w:r>
          </w:p>
          <w:p w14:paraId="4AA594F3" w14:textId="77777777" w:rsidR="00537000" w:rsidRPr="00004022" w:rsidRDefault="00537000" w:rsidP="00592E43">
            <w:pPr>
              <w:pStyle w:val="ListParagraph"/>
              <w:numPr>
                <w:ilvl w:val="1"/>
                <w:numId w:val="4"/>
              </w:numPr>
              <w:ind w:left="720"/>
              <w:jc w:val="both"/>
              <w:rPr>
                <w:rFonts w:cstheme="minorHAnsi"/>
                <w:szCs w:val="20"/>
                <w:lang w:val="fr-FR"/>
              </w:rPr>
            </w:pPr>
            <w:r w:rsidRPr="00004022">
              <w:rPr>
                <w:rFonts w:cstheme="minorHAnsi"/>
                <w:szCs w:val="20"/>
                <w:lang w:val="fr-FR"/>
              </w:rPr>
              <w:t>Les patients décédés le jour même de leur admission sont inclus.</w:t>
            </w:r>
          </w:p>
          <w:p w14:paraId="4D50092A" w14:textId="77777777" w:rsidR="00537000" w:rsidRPr="00004022" w:rsidRDefault="00537000" w:rsidP="00592E43">
            <w:pPr>
              <w:pStyle w:val="ListParagraph"/>
              <w:numPr>
                <w:ilvl w:val="1"/>
                <w:numId w:val="4"/>
              </w:numPr>
              <w:ind w:left="720"/>
              <w:jc w:val="both"/>
              <w:rPr>
                <w:rFonts w:cstheme="minorHAnsi"/>
                <w:szCs w:val="20"/>
                <w:lang w:val="fr-FR"/>
              </w:rPr>
            </w:pPr>
            <w:r w:rsidRPr="00004022">
              <w:rPr>
                <w:rFonts w:cstheme="minorHAnsi"/>
                <w:szCs w:val="20"/>
                <w:lang w:val="fr-FR"/>
              </w:rPr>
              <w:t>Les transferts dans la même journée d’admission ne sont pas pris en compte.</w:t>
            </w:r>
          </w:p>
          <w:p w14:paraId="127C76C3" w14:textId="77777777" w:rsidR="00537000" w:rsidRPr="00004022" w:rsidRDefault="00537000" w:rsidP="00592E43">
            <w:pPr>
              <w:pStyle w:val="ListParagraph"/>
              <w:jc w:val="both"/>
              <w:rPr>
                <w:rFonts w:cstheme="minorHAnsi"/>
                <w:szCs w:val="20"/>
                <w:lang w:val="fr-FR"/>
              </w:rPr>
            </w:pPr>
          </w:p>
        </w:tc>
      </w:tr>
      <w:tr w:rsidR="00537000" w:rsidRPr="00F92F9D" w14:paraId="5DBBC076" w14:textId="77777777" w:rsidTr="00592E43">
        <w:tc>
          <w:tcPr>
            <w:tcW w:w="1418" w:type="dxa"/>
            <w:shd w:val="clear" w:color="auto" w:fill="B7D4EF" w:themeFill="text2" w:themeFillTint="33"/>
          </w:tcPr>
          <w:p w14:paraId="25FB3707" w14:textId="77777777" w:rsidR="00537000" w:rsidRPr="00E1451F" w:rsidRDefault="00537000" w:rsidP="00592E43">
            <w:pPr>
              <w:rPr>
                <w:b/>
                <w:color w:val="196B24" w:themeColor="accent3"/>
                <w:lang w:val="fr-FR"/>
              </w:rPr>
            </w:pPr>
            <w:r w:rsidRPr="00E1451F">
              <w:rPr>
                <w:b/>
                <w:color w:val="196B24" w:themeColor="accent3"/>
                <w:lang w:val="fr-FR"/>
              </w:rPr>
              <w:t>Épisode hospitalier</w:t>
            </w:r>
          </w:p>
        </w:tc>
        <w:tc>
          <w:tcPr>
            <w:tcW w:w="8647" w:type="dxa"/>
          </w:tcPr>
          <w:p w14:paraId="317AC85B" w14:textId="77777777" w:rsidR="00537000" w:rsidRPr="00004022" w:rsidRDefault="00537000" w:rsidP="00592E43">
            <w:pPr>
              <w:jc w:val="both"/>
              <w:rPr>
                <w:rFonts w:cs="Calibri"/>
                <w:szCs w:val="20"/>
                <w:lang w:val="fr-FR"/>
              </w:rPr>
            </w:pPr>
            <w:r w:rsidRPr="00004022">
              <w:rPr>
                <w:rFonts w:cs="Calibri"/>
                <w:szCs w:val="20"/>
                <w:lang w:val="fr-FR"/>
              </w:rPr>
              <w:t xml:space="preserve">Les épisodes hospitaliers ne font pas l’objet d’une analyse dans ce rapport. </w:t>
            </w:r>
          </w:p>
          <w:p w14:paraId="4E652978" w14:textId="77777777" w:rsidR="00537000" w:rsidRPr="00004022" w:rsidRDefault="00537000" w:rsidP="00592E43">
            <w:pPr>
              <w:jc w:val="both"/>
              <w:rPr>
                <w:rFonts w:cs="Calibri"/>
                <w:szCs w:val="20"/>
                <w:lang w:val="fr-FR"/>
              </w:rPr>
            </w:pPr>
            <w:r w:rsidRPr="00004022">
              <w:rPr>
                <w:rFonts w:cs="Calibri"/>
                <w:szCs w:val="20"/>
                <w:lang w:val="fr-FR"/>
              </w:rPr>
              <w:t xml:space="preserve">Pour information un épisode hospitalier peut comporter des séjours hospitaliers successifs dans plusieurs hôpitaux. </w:t>
            </w:r>
          </w:p>
          <w:p w14:paraId="19F4B557" w14:textId="77777777" w:rsidR="00537000" w:rsidRPr="00004022" w:rsidRDefault="00537000" w:rsidP="00592E43">
            <w:pPr>
              <w:jc w:val="both"/>
              <w:rPr>
                <w:rFonts w:cs="Calibri"/>
                <w:szCs w:val="20"/>
                <w:lang w:val="fr-FR"/>
              </w:rPr>
            </w:pPr>
            <w:r w:rsidRPr="00004022">
              <w:rPr>
                <w:rFonts w:cs="Calibri"/>
                <w:szCs w:val="20"/>
                <w:lang w:val="fr-FR"/>
              </w:rPr>
              <w:t xml:space="preserve">Exemple : si un patient est hospitalisé consécutivement au CHL puis à l’INCCI puis au CHEM = 3 déclarations de prise en charge = 3 sorties = 3 hospitalisations = 3 séjours = 1 épisode </w:t>
            </w:r>
          </w:p>
          <w:p w14:paraId="5BDD8ECA" w14:textId="77777777" w:rsidR="00537000" w:rsidRPr="00004022" w:rsidRDefault="00537000" w:rsidP="00592E43">
            <w:pPr>
              <w:jc w:val="both"/>
              <w:rPr>
                <w:rFonts w:cs="Calibri"/>
                <w:szCs w:val="20"/>
                <w:lang w:val="fr-FR"/>
              </w:rPr>
            </w:pPr>
          </w:p>
        </w:tc>
      </w:tr>
      <w:tr w:rsidR="00537000" w:rsidRPr="00F92F9D" w14:paraId="491E4C21" w14:textId="77777777" w:rsidTr="00592E43">
        <w:tc>
          <w:tcPr>
            <w:tcW w:w="1418" w:type="dxa"/>
            <w:shd w:val="clear" w:color="auto" w:fill="B7D4EF" w:themeFill="text2" w:themeFillTint="33"/>
          </w:tcPr>
          <w:p w14:paraId="06D349FC" w14:textId="77777777" w:rsidR="00537000" w:rsidRPr="00E1451F" w:rsidRDefault="00537000" w:rsidP="00592E43">
            <w:pPr>
              <w:rPr>
                <w:b/>
                <w:color w:val="196B24" w:themeColor="accent3"/>
                <w:u w:val="single"/>
                <w:lang w:val="fr-FR"/>
              </w:rPr>
            </w:pPr>
            <w:r w:rsidRPr="00E1451F">
              <w:rPr>
                <w:b/>
                <w:color w:val="196B24" w:themeColor="accent3"/>
                <w:szCs w:val="16"/>
                <w:lang w:val="fr-FR"/>
              </w:rPr>
              <w:t>Journées d’</w:t>
            </w:r>
            <w:proofErr w:type="spellStart"/>
            <w:r w:rsidRPr="00E1451F">
              <w:rPr>
                <w:b/>
                <w:color w:val="196B24" w:themeColor="accent3"/>
                <w:szCs w:val="16"/>
                <w:lang w:val="fr-FR"/>
              </w:rPr>
              <w:t>hospita-lisation</w:t>
            </w:r>
            <w:proofErr w:type="spellEnd"/>
            <w:r w:rsidRPr="00E1451F">
              <w:rPr>
                <w:b/>
                <w:color w:val="196B24" w:themeColor="accent3"/>
                <w:szCs w:val="16"/>
                <w:lang w:val="fr-FR"/>
              </w:rPr>
              <w:t> </w:t>
            </w:r>
          </w:p>
        </w:tc>
        <w:tc>
          <w:tcPr>
            <w:tcW w:w="8647" w:type="dxa"/>
          </w:tcPr>
          <w:p w14:paraId="72C9F739" w14:textId="77777777" w:rsidR="00537000" w:rsidRPr="00004022" w:rsidRDefault="00537000" w:rsidP="00592E43">
            <w:pPr>
              <w:rPr>
                <w:b/>
                <w:u w:val="single"/>
                <w:lang w:val="fr-FR"/>
              </w:rPr>
            </w:pPr>
            <w:r w:rsidRPr="00DC7622">
              <w:rPr>
                <w:szCs w:val="16"/>
                <w:lang w:val="fr-FR"/>
              </w:rPr>
              <w:t>Les journées d’hospitalisation correspondent aux journées de prise en charge d’un patient, avec ou sans nuitée (les séjours sans nuitée incluant les séjours ESMJ, PSA et les passages en hôpital de jour chirurgical, non-chirurgical et pédiatrique).</w:t>
            </w:r>
          </w:p>
        </w:tc>
      </w:tr>
      <w:tr w:rsidR="00537000" w:rsidRPr="00F92F9D" w14:paraId="2BB83758" w14:textId="77777777" w:rsidTr="00592E43">
        <w:tc>
          <w:tcPr>
            <w:tcW w:w="1418" w:type="dxa"/>
            <w:shd w:val="clear" w:color="auto" w:fill="B7D4EF" w:themeFill="text2" w:themeFillTint="33"/>
          </w:tcPr>
          <w:p w14:paraId="2A5B62BC" w14:textId="77777777" w:rsidR="00537000" w:rsidRPr="00E1451F" w:rsidRDefault="00537000" w:rsidP="00592E43">
            <w:pPr>
              <w:rPr>
                <w:b/>
                <w:color w:val="196B24" w:themeColor="accent3"/>
                <w:u w:val="single"/>
                <w:lang w:val="fr-FR"/>
              </w:rPr>
            </w:pPr>
            <w:r w:rsidRPr="00E1451F">
              <w:rPr>
                <w:rFonts w:cstheme="minorHAnsi"/>
                <w:b/>
                <w:color w:val="196B24" w:themeColor="accent3"/>
                <w:szCs w:val="20"/>
                <w:lang w:val="fr-FR"/>
              </w:rPr>
              <w:t>Durée moyenne de séjour</w:t>
            </w:r>
            <w:r w:rsidRPr="00E1451F">
              <w:rPr>
                <w:rFonts w:cstheme="minorHAnsi"/>
                <w:color w:val="196B24" w:themeColor="accent3"/>
                <w:szCs w:val="20"/>
                <w:lang w:val="fr-FR"/>
              </w:rPr>
              <w:t> </w:t>
            </w:r>
          </w:p>
        </w:tc>
        <w:tc>
          <w:tcPr>
            <w:tcW w:w="8647" w:type="dxa"/>
          </w:tcPr>
          <w:p w14:paraId="0EE78A7C" w14:textId="77777777" w:rsidR="00537000" w:rsidRPr="00004022" w:rsidRDefault="00537000" w:rsidP="00592E43">
            <w:pPr>
              <w:jc w:val="both"/>
              <w:rPr>
                <w:rFonts w:cstheme="minorHAnsi"/>
                <w:szCs w:val="20"/>
                <w:lang w:val="fr-FR"/>
              </w:rPr>
            </w:pPr>
            <w:r w:rsidRPr="00004022">
              <w:rPr>
                <w:rFonts w:cstheme="minorHAnsi"/>
                <w:szCs w:val="20"/>
                <w:lang w:val="fr-FR"/>
              </w:rPr>
              <w:t>La durée moyenne de séjour fait référence au nombre moyen de jours que les patients passent à l’hôpital pour leur séjour en hospitalisation incluant au moins une nuitée.</w:t>
            </w:r>
          </w:p>
          <w:p w14:paraId="63B875C3" w14:textId="77777777" w:rsidR="00537000" w:rsidRPr="00004022" w:rsidRDefault="00537000" w:rsidP="00592E43">
            <w:pPr>
              <w:pStyle w:val="ListParagraph"/>
              <w:ind w:left="0"/>
              <w:jc w:val="both"/>
              <w:rPr>
                <w:rFonts w:cstheme="minorHAnsi"/>
                <w:szCs w:val="20"/>
                <w:lang w:val="fr-FR"/>
              </w:rPr>
            </w:pPr>
            <w:r w:rsidRPr="00004022">
              <w:rPr>
                <w:rFonts w:cstheme="minorHAnsi"/>
                <w:szCs w:val="20"/>
                <w:lang w:val="fr-FR"/>
              </w:rPr>
              <w:t>Exclusions</w:t>
            </w:r>
            <w:r w:rsidRPr="00004022">
              <w:rPr>
                <w:rFonts w:cstheme="minorHAnsi"/>
                <w:b/>
                <w:szCs w:val="20"/>
                <w:lang w:val="fr-FR"/>
              </w:rPr>
              <w:t> </w:t>
            </w:r>
            <w:r w:rsidRPr="00004022">
              <w:rPr>
                <w:rFonts w:cstheme="minorHAnsi"/>
                <w:szCs w:val="20"/>
                <w:lang w:val="fr-FR"/>
              </w:rPr>
              <w:t xml:space="preserve">: </w:t>
            </w:r>
          </w:p>
          <w:p w14:paraId="368A94F4" w14:textId="77777777" w:rsidR="00537000" w:rsidRPr="00004022" w:rsidRDefault="00537000" w:rsidP="00592E43">
            <w:pPr>
              <w:pStyle w:val="ListParagraph"/>
              <w:numPr>
                <w:ilvl w:val="1"/>
                <w:numId w:val="6"/>
              </w:numPr>
              <w:ind w:left="720"/>
              <w:jc w:val="both"/>
              <w:rPr>
                <w:rFonts w:cstheme="minorHAnsi"/>
                <w:szCs w:val="20"/>
                <w:lang w:val="fr-FR"/>
              </w:rPr>
            </w:pPr>
            <w:proofErr w:type="gramStart"/>
            <w:r w:rsidRPr="00004022">
              <w:rPr>
                <w:rFonts w:cstheme="minorHAnsi"/>
                <w:szCs w:val="20"/>
                <w:lang w:val="fr-FR"/>
              </w:rPr>
              <w:t>les</w:t>
            </w:r>
            <w:proofErr w:type="gramEnd"/>
            <w:r w:rsidRPr="00004022">
              <w:rPr>
                <w:rFonts w:cstheme="minorHAnsi"/>
                <w:szCs w:val="20"/>
                <w:lang w:val="fr-FR"/>
              </w:rPr>
              <w:t xml:space="preserve"> hospitalisations de jour et l’activité réalisée en places de surveillance ambulatoire ou en hôpital de jour </w:t>
            </w:r>
          </w:p>
          <w:p w14:paraId="7D8129AE" w14:textId="77777777" w:rsidR="00537000" w:rsidRPr="00004022" w:rsidRDefault="00537000" w:rsidP="00592E43">
            <w:pPr>
              <w:pStyle w:val="ListParagraph"/>
              <w:numPr>
                <w:ilvl w:val="1"/>
                <w:numId w:val="6"/>
              </w:numPr>
              <w:ind w:left="720"/>
              <w:jc w:val="both"/>
              <w:rPr>
                <w:rFonts w:cstheme="minorHAnsi"/>
                <w:szCs w:val="20"/>
                <w:lang w:val="fr-FR"/>
              </w:rPr>
            </w:pPr>
            <w:proofErr w:type="gramStart"/>
            <w:r w:rsidRPr="00004022">
              <w:rPr>
                <w:rFonts w:cstheme="minorHAnsi"/>
                <w:szCs w:val="20"/>
                <w:lang w:val="fr-FR"/>
              </w:rPr>
              <w:t>le</w:t>
            </w:r>
            <w:proofErr w:type="gramEnd"/>
            <w:r w:rsidRPr="00004022">
              <w:rPr>
                <w:rFonts w:cstheme="minorHAnsi"/>
                <w:szCs w:val="20"/>
                <w:lang w:val="fr-FR"/>
              </w:rPr>
              <w:t xml:space="preserve"> jour de sortie qui n’est pas encodé comme une journée prestée. </w:t>
            </w:r>
          </w:p>
          <w:p w14:paraId="5F28FEA1" w14:textId="77777777" w:rsidR="00537000" w:rsidRPr="00004022" w:rsidRDefault="00537000" w:rsidP="00592E43">
            <w:pPr>
              <w:pStyle w:val="ListParagraph"/>
              <w:ind w:left="0"/>
              <w:jc w:val="both"/>
              <w:rPr>
                <w:b/>
                <w:u w:val="single"/>
                <w:lang w:val="fr-FR"/>
              </w:rPr>
            </w:pPr>
          </w:p>
          <w:p w14:paraId="42BD6198" w14:textId="77777777" w:rsidR="00537000" w:rsidRPr="00004022" w:rsidRDefault="00537000" w:rsidP="00592E43">
            <w:pPr>
              <w:jc w:val="both"/>
              <w:rPr>
                <w:rFonts w:cstheme="minorHAnsi"/>
                <w:szCs w:val="20"/>
                <w:lang w:val="fr-FR"/>
              </w:rPr>
            </w:pPr>
            <w:r w:rsidRPr="00004022">
              <w:rPr>
                <w:rFonts w:cstheme="minorHAnsi"/>
                <w:szCs w:val="20"/>
                <w:lang w:val="fr-FR"/>
              </w:rPr>
              <w:t xml:space="preserve">Le mode de calcul défini par l’IGSS correspond à la moyenne de toutes les durées de tous les séjours de toutes les personnes soignées sorties dans la période observée. </w:t>
            </w:r>
          </w:p>
          <w:p w14:paraId="7655EEC4" w14:textId="77777777" w:rsidR="00537000" w:rsidRPr="00004022" w:rsidRDefault="00537000" w:rsidP="00592E43">
            <w:pPr>
              <w:pStyle w:val="ListParagraph"/>
              <w:ind w:left="0"/>
              <w:jc w:val="both"/>
              <w:rPr>
                <w:szCs w:val="20"/>
                <w:lang w:val="fr-FR"/>
              </w:rPr>
            </w:pPr>
            <w:r w:rsidRPr="00004022">
              <w:rPr>
                <w:szCs w:val="20"/>
                <w:lang w:val="fr-FR"/>
              </w:rPr>
              <w:t>DMS = moyenne (date fin – date début des séjours en présence à minuit) de tous les séjours avec présence à minuit</w:t>
            </w:r>
          </w:p>
          <w:p w14:paraId="59B5BA48" w14:textId="77777777" w:rsidR="00537000" w:rsidRPr="00004022" w:rsidRDefault="00537000" w:rsidP="00592E43">
            <w:pPr>
              <w:pStyle w:val="ListParagraph"/>
              <w:ind w:left="0"/>
              <w:jc w:val="both"/>
              <w:rPr>
                <w:szCs w:val="20"/>
                <w:lang w:val="fr-FR"/>
              </w:rPr>
            </w:pPr>
          </w:p>
        </w:tc>
      </w:tr>
      <w:tr w:rsidR="00537000" w:rsidRPr="00F92F9D" w14:paraId="280FEA66" w14:textId="77777777" w:rsidTr="00592E43">
        <w:tc>
          <w:tcPr>
            <w:tcW w:w="1418" w:type="dxa"/>
            <w:vMerge w:val="restart"/>
            <w:shd w:val="clear" w:color="auto" w:fill="B7D4EF" w:themeFill="text2" w:themeFillTint="33"/>
          </w:tcPr>
          <w:p w14:paraId="553006FB" w14:textId="77777777" w:rsidR="00537000" w:rsidRPr="00E1451F" w:rsidRDefault="00537000" w:rsidP="00592E43">
            <w:pPr>
              <w:rPr>
                <w:b/>
                <w:color w:val="196B24" w:themeColor="accent3"/>
                <w:u w:val="single"/>
                <w:lang w:val="fr-FR"/>
              </w:rPr>
            </w:pPr>
            <w:r w:rsidRPr="00E1451F">
              <w:rPr>
                <w:rFonts w:cstheme="minorHAnsi"/>
                <w:b/>
                <w:color w:val="196B24" w:themeColor="accent3"/>
                <w:szCs w:val="20"/>
                <w:lang w:val="fr-FR"/>
              </w:rPr>
              <w:t>Occupation des lits </w:t>
            </w:r>
          </w:p>
        </w:tc>
        <w:tc>
          <w:tcPr>
            <w:tcW w:w="8647" w:type="dxa"/>
          </w:tcPr>
          <w:p w14:paraId="2E88A71F" w14:textId="77777777" w:rsidR="00537000" w:rsidRPr="00004022" w:rsidRDefault="00537000" w:rsidP="00592E43">
            <w:pPr>
              <w:jc w:val="both"/>
              <w:rPr>
                <w:rFonts w:cstheme="minorHAnsi"/>
                <w:szCs w:val="20"/>
                <w:lang w:val="fr-FR"/>
              </w:rPr>
            </w:pPr>
            <w:r w:rsidRPr="00004022">
              <w:rPr>
                <w:rFonts w:cstheme="minorHAnsi"/>
                <w:szCs w:val="20"/>
                <w:lang w:val="fr-FR"/>
              </w:rPr>
              <w:t>Les données d’occupation des lits concernent les prestations facturées pour les assurés CNS.</w:t>
            </w:r>
          </w:p>
          <w:p w14:paraId="4B80253B" w14:textId="77777777" w:rsidR="00537000" w:rsidRPr="00004022" w:rsidRDefault="00537000" w:rsidP="00592E43">
            <w:pPr>
              <w:jc w:val="both"/>
              <w:rPr>
                <w:rFonts w:cstheme="minorHAnsi"/>
                <w:szCs w:val="20"/>
                <w:lang w:val="fr-FR"/>
              </w:rPr>
            </w:pPr>
            <w:r w:rsidRPr="00004022">
              <w:rPr>
                <w:rFonts w:cstheme="minorHAnsi"/>
                <w:szCs w:val="20"/>
                <w:lang w:val="fr-FR"/>
              </w:rPr>
              <w:t>L’activité réalisée avec une prise en charge en places de surveillance ambulatoire est exclue car la loi ne prévoit pas de maximum de lits autorisés pour ces places, comme pour les lits d’hospitalisation de jour.</w:t>
            </w:r>
          </w:p>
          <w:p w14:paraId="0E212187" w14:textId="77777777" w:rsidR="00537000" w:rsidRPr="00004022" w:rsidRDefault="00537000" w:rsidP="00592E43">
            <w:pPr>
              <w:jc w:val="both"/>
              <w:rPr>
                <w:b/>
                <w:u w:val="single"/>
                <w:lang w:val="fr-FR"/>
              </w:rPr>
            </w:pPr>
          </w:p>
        </w:tc>
      </w:tr>
      <w:tr w:rsidR="00537000" w:rsidRPr="00F92F9D" w14:paraId="36816878" w14:textId="77777777" w:rsidTr="00592E43">
        <w:tc>
          <w:tcPr>
            <w:tcW w:w="1418" w:type="dxa"/>
            <w:vMerge/>
            <w:shd w:val="clear" w:color="auto" w:fill="B7D4EF" w:themeFill="text2" w:themeFillTint="33"/>
          </w:tcPr>
          <w:p w14:paraId="05A000EF" w14:textId="77777777" w:rsidR="00537000" w:rsidRPr="00E1451F" w:rsidRDefault="00537000" w:rsidP="00592E43">
            <w:pPr>
              <w:rPr>
                <w:rFonts w:cstheme="minorHAnsi"/>
                <w:b/>
                <w:color w:val="196B24" w:themeColor="accent3"/>
                <w:szCs w:val="20"/>
                <w:lang w:val="fr-FR"/>
              </w:rPr>
            </w:pPr>
          </w:p>
        </w:tc>
        <w:tc>
          <w:tcPr>
            <w:tcW w:w="8647" w:type="dxa"/>
          </w:tcPr>
          <w:p w14:paraId="665074F0" w14:textId="77777777" w:rsidR="00537000" w:rsidRPr="00004022" w:rsidRDefault="00537000" w:rsidP="00592E43">
            <w:pPr>
              <w:pStyle w:val="ListParagraph"/>
              <w:numPr>
                <w:ilvl w:val="1"/>
                <w:numId w:val="6"/>
              </w:numPr>
              <w:ind w:left="360" w:hanging="183"/>
              <w:jc w:val="both"/>
              <w:rPr>
                <w:rFonts w:cstheme="minorHAnsi"/>
                <w:b/>
                <w:szCs w:val="20"/>
                <w:lang w:val="fr-FR"/>
              </w:rPr>
            </w:pPr>
            <w:r w:rsidRPr="00004022">
              <w:rPr>
                <w:rFonts w:cstheme="minorHAnsi"/>
                <w:b/>
                <w:szCs w:val="20"/>
                <w:lang w:val="fr-FR"/>
              </w:rPr>
              <w:t>Lits occupés en moyenne par jour (LOM)</w:t>
            </w:r>
            <w:r w:rsidRPr="00004022">
              <w:rPr>
                <w:rFonts w:cstheme="minorHAnsi"/>
                <w:szCs w:val="20"/>
                <w:lang w:val="fr-FR"/>
              </w:rPr>
              <w:t xml:space="preserve"> = </w:t>
            </w:r>
            <w:r w:rsidRPr="00004022">
              <w:rPr>
                <w:szCs w:val="20"/>
                <w:lang w:val="fr-FR"/>
              </w:rPr>
              <w:t>moyenne des journées d’hospitalisation facturées par jour calculée sur la période considérée (année civile ou mois)</w:t>
            </w:r>
          </w:p>
          <w:p w14:paraId="37A30A28" w14:textId="77777777" w:rsidR="00537000" w:rsidRPr="00004022" w:rsidRDefault="00537000" w:rsidP="00592E43">
            <w:pPr>
              <w:ind w:left="360" w:hanging="41"/>
              <w:jc w:val="both"/>
              <w:rPr>
                <w:rFonts w:cstheme="minorHAnsi"/>
                <w:szCs w:val="20"/>
                <w:lang w:val="fr-FR"/>
              </w:rPr>
            </w:pPr>
            <w:r w:rsidRPr="00004022">
              <w:rPr>
                <w:rFonts w:cstheme="minorHAnsi"/>
                <w:szCs w:val="20"/>
                <w:lang w:val="fr-FR"/>
              </w:rPr>
              <w:t>Source de donnée</w:t>
            </w:r>
            <w:r>
              <w:rPr>
                <w:rFonts w:cstheme="minorHAnsi"/>
                <w:szCs w:val="20"/>
                <w:lang w:val="fr-FR"/>
              </w:rPr>
              <w:t>s</w:t>
            </w:r>
            <w:r w:rsidRPr="00004022">
              <w:rPr>
                <w:rFonts w:cstheme="minorHAnsi"/>
                <w:szCs w:val="20"/>
                <w:lang w:val="fr-FR"/>
              </w:rPr>
              <w:t> : IGSS, f</w:t>
            </w:r>
            <w:r w:rsidRPr="00004022">
              <w:rPr>
                <w:szCs w:val="20"/>
                <w:lang w:val="fr-FR"/>
              </w:rPr>
              <w:t>ichier des facturations par jour et par hôpital d’unités d’œuvre de soins normaux (soins palliatifs inclus dans l’activité aiguë), de soins intensifs et de rééducation. Avec ces données, il se peut que pour un même patient et pour un même jour, plus d’un lit soit facturé dans la même journée. Sont également considérées les hospitalisations non terminées.</w:t>
            </w:r>
          </w:p>
          <w:p w14:paraId="04C97AC0" w14:textId="77777777" w:rsidR="00537000" w:rsidRPr="00004022" w:rsidRDefault="00537000" w:rsidP="00592E43">
            <w:pPr>
              <w:pStyle w:val="ListParagraph"/>
              <w:numPr>
                <w:ilvl w:val="0"/>
                <w:numId w:val="6"/>
              </w:numPr>
              <w:ind w:hanging="183"/>
              <w:jc w:val="both"/>
              <w:rPr>
                <w:rFonts w:cstheme="minorHAnsi"/>
                <w:szCs w:val="20"/>
                <w:lang w:val="fr-FR"/>
              </w:rPr>
            </w:pPr>
            <w:r w:rsidRPr="00004022">
              <w:rPr>
                <w:rFonts w:cstheme="minorHAnsi"/>
                <w:szCs w:val="20"/>
                <w:lang w:val="fr-FR"/>
              </w:rPr>
              <w:t xml:space="preserve">Remarque : </w:t>
            </w:r>
          </w:p>
          <w:p w14:paraId="4076BF8A" w14:textId="77777777" w:rsidR="00537000" w:rsidRPr="00004022" w:rsidRDefault="00537000" w:rsidP="00592E43">
            <w:pPr>
              <w:pStyle w:val="ListParagraph"/>
              <w:numPr>
                <w:ilvl w:val="1"/>
                <w:numId w:val="6"/>
              </w:numPr>
              <w:jc w:val="both"/>
              <w:rPr>
                <w:rFonts w:cstheme="minorHAnsi"/>
                <w:szCs w:val="20"/>
                <w:lang w:val="fr-FR"/>
              </w:rPr>
            </w:pPr>
            <w:r w:rsidRPr="00004022">
              <w:rPr>
                <w:rFonts w:cstheme="minorHAnsi"/>
                <w:szCs w:val="20"/>
                <w:lang w:val="fr-FR"/>
              </w:rPr>
              <w:t>L’analyse de l’occupation des lits ne tient pas compte des fermetures de lits hospitaliers pour motifs organisationnels (ex : hôpitaux de semaine) ou structurels (ex : rénovation).</w:t>
            </w:r>
          </w:p>
          <w:p w14:paraId="269ED5EB" w14:textId="77777777" w:rsidR="00537000" w:rsidRPr="00004022" w:rsidRDefault="00537000" w:rsidP="00592E43">
            <w:pPr>
              <w:pStyle w:val="ListParagraph"/>
              <w:ind w:left="360"/>
              <w:jc w:val="both"/>
              <w:rPr>
                <w:rFonts w:cstheme="minorHAnsi"/>
                <w:szCs w:val="20"/>
                <w:lang w:val="fr-FR"/>
              </w:rPr>
            </w:pPr>
          </w:p>
        </w:tc>
      </w:tr>
      <w:tr w:rsidR="00537000" w:rsidRPr="00D32E8C" w14:paraId="3EFE7165" w14:textId="77777777" w:rsidTr="00592E43">
        <w:tc>
          <w:tcPr>
            <w:tcW w:w="1418" w:type="dxa"/>
            <w:vMerge/>
            <w:shd w:val="clear" w:color="auto" w:fill="B7D4EF" w:themeFill="text2" w:themeFillTint="33"/>
          </w:tcPr>
          <w:p w14:paraId="1D91A41B" w14:textId="77777777" w:rsidR="00537000" w:rsidRPr="00E1451F" w:rsidRDefault="00537000" w:rsidP="00592E43">
            <w:pPr>
              <w:rPr>
                <w:rFonts w:cstheme="minorHAnsi"/>
                <w:b/>
                <w:color w:val="196B24" w:themeColor="accent3"/>
                <w:szCs w:val="20"/>
                <w:lang w:val="fr-FR"/>
              </w:rPr>
            </w:pPr>
          </w:p>
        </w:tc>
        <w:tc>
          <w:tcPr>
            <w:tcW w:w="8647" w:type="dxa"/>
          </w:tcPr>
          <w:p w14:paraId="7751517C" w14:textId="77777777" w:rsidR="00537000" w:rsidRPr="00004022" w:rsidRDefault="00537000" w:rsidP="00592E43">
            <w:pPr>
              <w:pStyle w:val="ListParagraph"/>
              <w:numPr>
                <w:ilvl w:val="1"/>
                <w:numId w:val="6"/>
              </w:numPr>
              <w:ind w:left="360" w:hanging="183"/>
              <w:jc w:val="both"/>
              <w:rPr>
                <w:rFonts w:cstheme="minorHAnsi"/>
                <w:szCs w:val="20"/>
                <w:lang w:val="fr-FR"/>
              </w:rPr>
            </w:pPr>
            <w:r w:rsidRPr="00004022">
              <w:rPr>
                <w:rFonts w:cstheme="minorHAnsi"/>
                <w:b/>
                <w:szCs w:val="20"/>
                <w:lang w:val="fr-FR"/>
              </w:rPr>
              <w:t xml:space="preserve">Taux d’occupation annuel (TO) = </w:t>
            </w:r>
            <w:r w:rsidRPr="00004022">
              <w:rPr>
                <w:rFonts w:cstheme="minorHAnsi"/>
                <w:szCs w:val="20"/>
                <w:lang w:val="fr-FR"/>
              </w:rPr>
              <w:t>(nombre de journées d’hospitalisation facturées pour une année / (nombre de lits déclarés * 365)) *100</w:t>
            </w:r>
          </w:p>
          <w:p w14:paraId="05AFEC4D" w14:textId="77777777" w:rsidR="00537000" w:rsidRPr="00004022" w:rsidRDefault="00537000" w:rsidP="00592E43">
            <w:pPr>
              <w:jc w:val="both"/>
              <w:rPr>
                <w:rFonts w:cstheme="minorHAnsi"/>
                <w:szCs w:val="20"/>
                <w:lang w:val="fr-FR"/>
              </w:rPr>
            </w:pPr>
            <w:r w:rsidRPr="00004022">
              <w:rPr>
                <w:rFonts w:cstheme="minorHAnsi"/>
                <w:szCs w:val="20"/>
                <w:lang w:val="fr-FR"/>
              </w:rPr>
              <w:t xml:space="preserve">Remarques : </w:t>
            </w:r>
          </w:p>
          <w:p w14:paraId="4908E8F7" w14:textId="77777777" w:rsidR="00537000" w:rsidRPr="00004022" w:rsidRDefault="00537000" w:rsidP="00592E43">
            <w:pPr>
              <w:pStyle w:val="ListParagraph"/>
              <w:numPr>
                <w:ilvl w:val="0"/>
                <w:numId w:val="8"/>
              </w:numPr>
              <w:ind w:hanging="187"/>
              <w:jc w:val="both"/>
              <w:rPr>
                <w:rFonts w:cstheme="minorHAnsi"/>
                <w:szCs w:val="20"/>
                <w:lang w:val="fr-FR"/>
              </w:rPr>
            </w:pPr>
            <w:proofErr w:type="gramStart"/>
            <w:r w:rsidRPr="00004022">
              <w:rPr>
                <w:rFonts w:cstheme="minorHAnsi"/>
                <w:szCs w:val="20"/>
                <w:lang w:val="fr-FR"/>
              </w:rPr>
              <w:t>pour</w:t>
            </w:r>
            <w:proofErr w:type="gramEnd"/>
            <w:r w:rsidRPr="00004022">
              <w:rPr>
                <w:rFonts w:cstheme="minorHAnsi"/>
                <w:szCs w:val="20"/>
                <w:lang w:val="fr-FR"/>
              </w:rPr>
              <w:t xml:space="preserve"> le calcul du taux d’occupation annuel des années bissextiles, 366 jours sont pris en compte (</w:t>
            </w:r>
            <w:r>
              <w:rPr>
                <w:rFonts w:cstheme="minorHAnsi"/>
                <w:szCs w:val="20"/>
                <w:lang w:val="fr-FR"/>
              </w:rPr>
              <w:t xml:space="preserve">ex : </w:t>
            </w:r>
            <w:r w:rsidRPr="00004022">
              <w:rPr>
                <w:rFonts w:cstheme="minorHAnsi"/>
                <w:szCs w:val="20"/>
                <w:lang w:val="fr-FR"/>
              </w:rPr>
              <w:t xml:space="preserve">2020) ; </w:t>
            </w:r>
          </w:p>
          <w:p w14:paraId="75DE1EE6" w14:textId="77777777" w:rsidR="00537000" w:rsidRPr="00F909D9" w:rsidRDefault="00537000" w:rsidP="00592E43">
            <w:pPr>
              <w:pStyle w:val="ListParagraph"/>
              <w:numPr>
                <w:ilvl w:val="0"/>
                <w:numId w:val="8"/>
              </w:numPr>
              <w:ind w:hanging="187"/>
              <w:jc w:val="both"/>
              <w:rPr>
                <w:rFonts w:cstheme="minorHAnsi"/>
                <w:szCs w:val="20"/>
                <w:lang w:val="fr-FR"/>
              </w:rPr>
            </w:pPr>
            <w:proofErr w:type="gramStart"/>
            <w:r w:rsidRPr="00F909D9">
              <w:rPr>
                <w:szCs w:val="20"/>
                <w:lang w:val="fr-FR"/>
              </w:rPr>
              <w:t>les</w:t>
            </w:r>
            <w:proofErr w:type="gramEnd"/>
            <w:r w:rsidRPr="00F909D9">
              <w:rPr>
                <w:szCs w:val="20"/>
                <w:lang w:val="fr-FR"/>
              </w:rPr>
              <w:t xml:space="preserve"> données de facturation servant aux calculs des taux d’occupation ne permettent pas d’exclure les journées de soins palliatifs de l’activité aiguë. C’est pourquoi, </w:t>
            </w:r>
            <w:r w:rsidRPr="00F909D9">
              <w:rPr>
                <w:rFonts w:cstheme="minorHAnsi"/>
                <w:szCs w:val="20"/>
                <w:lang w:val="fr-FR"/>
              </w:rPr>
              <w:t>les lits de</w:t>
            </w:r>
            <w:r w:rsidRPr="00F909D9">
              <w:rPr>
                <w:szCs w:val="20"/>
                <w:lang w:val="fr-FR"/>
              </w:rPr>
              <w:t xml:space="preserve"> soins palliatifs, qui deviennent lits de moyen séjour à partir de 2019 conformément à la loi hospitalière, ont toutefois été réintégrés aux lits aigus pour assurer la consistance de ce calcul. </w:t>
            </w:r>
          </w:p>
          <w:p w14:paraId="65544F38" w14:textId="77777777" w:rsidR="00537000" w:rsidRPr="00F909D9" w:rsidRDefault="00537000" w:rsidP="00592E43">
            <w:pPr>
              <w:pStyle w:val="ListParagraph"/>
              <w:numPr>
                <w:ilvl w:val="0"/>
                <w:numId w:val="8"/>
              </w:numPr>
              <w:ind w:hanging="187"/>
              <w:jc w:val="both"/>
              <w:rPr>
                <w:lang w:val="fr-FR"/>
              </w:rPr>
            </w:pPr>
            <w:r w:rsidRPr="00F909D9">
              <w:rPr>
                <w:lang w:val="fr-FR"/>
              </w:rPr>
              <w:t>En outre, en 2019</w:t>
            </w:r>
            <w:r>
              <w:rPr>
                <w:lang w:val="fr-FR"/>
              </w:rPr>
              <w:t xml:space="preserve"> et en 2020</w:t>
            </w:r>
            <w:r w:rsidRPr="00F909D9">
              <w:rPr>
                <w:lang w:val="fr-FR"/>
              </w:rPr>
              <w:t xml:space="preserve">, pour la rééducation gériatrique, les données d’activité à notre disposition n’incluent pour le CHEM, que les 36 lits de Dudelange (et pas les 23 lits de </w:t>
            </w:r>
            <w:proofErr w:type="spellStart"/>
            <w:r w:rsidRPr="00F909D9">
              <w:rPr>
                <w:lang w:val="fr-FR"/>
              </w:rPr>
              <w:t>Niederkorn</w:t>
            </w:r>
            <w:proofErr w:type="spellEnd"/>
            <w:r w:rsidRPr="00F909D9">
              <w:rPr>
                <w:lang w:val="fr-FR"/>
              </w:rPr>
              <w:t xml:space="preserve">) et </w:t>
            </w:r>
            <w:r>
              <w:rPr>
                <w:lang w:val="fr-FR"/>
              </w:rPr>
              <w:t xml:space="preserve">en 2019 </w:t>
            </w:r>
            <w:r w:rsidRPr="00F909D9">
              <w:rPr>
                <w:lang w:val="fr-FR"/>
              </w:rPr>
              <w:t>pour les HRS, sur la période de janvier à mai, seule l’activité de 30 lits sur 70 lits est incluse (raison</w:t>
            </w:r>
            <w:r>
              <w:rPr>
                <w:lang w:val="fr-FR"/>
              </w:rPr>
              <w:t> </w:t>
            </w:r>
            <w:r w:rsidRPr="00F909D9">
              <w:rPr>
                <w:lang w:val="fr-FR"/>
              </w:rPr>
              <w:t>: facturation a différé du réel de l’activité). Les lits non inclus pour la rééducation gériatrique ont en conséquence été inclus dans les lits aigus.</w:t>
            </w:r>
          </w:p>
          <w:p w14:paraId="6E70064F" w14:textId="77777777" w:rsidR="00537000" w:rsidRPr="00004022" w:rsidRDefault="00537000" w:rsidP="00592E43">
            <w:pPr>
              <w:pStyle w:val="ListParagraph"/>
              <w:numPr>
                <w:ilvl w:val="0"/>
                <w:numId w:val="8"/>
              </w:numPr>
              <w:ind w:hanging="187"/>
              <w:jc w:val="both"/>
              <w:rPr>
                <w:b/>
                <w:lang w:val="fr-FR"/>
              </w:rPr>
            </w:pPr>
            <w:bookmarkStart w:id="14" w:name="_Hlk32316282"/>
            <w:proofErr w:type="gramStart"/>
            <w:r w:rsidRPr="00004022">
              <w:rPr>
                <w:lang w:val="fr-FR"/>
              </w:rPr>
              <w:t>la</w:t>
            </w:r>
            <w:proofErr w:type="gramEnd"/>
            <w:r w:rsidRPr="00004022">
              <w:rPr>
                <w:lang w:val="fr-FR"/>
              </w:rPr>
              <w:t xml:space="preserve"> barre rouge fixée à 85% sur les graphiques d’occupation saisonnière correspond au taux sous lequel la capacité d’accueil et la sécurité sont considérées comme garanties pour les patients. Au-delà, il peut exister des difficultés d’accueil pour répondre aux situations urgentes et de crise.</w:t>
            </w:r>
          </w:p>
          <w:p w14:paraId="5AAF0546" w14:textId="77777777" w:rsidR="00537000" w:rsidRPr="00004022" w:rsidRDefault="00537000" w:rsidP="00592E43">
            <w:pPr>
              <w:pStyle w:val="ListParagraph"/>
              <w:ind w:left="364"/>
              <w:jc w:val="both"/>
              <w:rPr>
                <w:b/>
                <w:lang w:val="fr-FR"/>
              </w:rPr>
            </w:pPr>
            <w:r w:rsidRPr="00004022">
              <w:rPr>
                <w:lang w:val="fr-FR"/>
              </w:rPr>
              <w:t>Ce taux ne s’applique qu’aux lits aigus des établissements.</w:t>
            </w:r>
          </w:p>
          <w:p w14:paraId="076A42F2" w14:textId="77777777" w:rsidR="00537000" w:rsidRPr="00D17611" w:rsidRDefault="00537000" w:rsidP="00592E43">
            <w:pPr>
              <w:pStyle w:val="ListParagraph"/>
              <w:ind w:left="364"/>
              <w:jc w:val="both"/>
              <w:rPr>
                <w:i/>
                <w:sz w:val="16"/>
                <w:lang w:val="fr-FR"/>
              </w:rPr>
            </w:pPr>
            <w:r w:rsidRPr="00D17611">
              <w:rPr>
                <w:i/>
                <w:sz w:val="16"/>
                <w:lang w:val="fr-FR"/>
              </w:rPr>
              <w:t>Ex : taux de 85% fixé par une étude du NICE et mentionné dans le Panorama de la Santé de l’OCDE 202</w:t>
            </w:r>
            <w:r>
              <w:rPr>
                <w:i/>
                <w:sz w:val="16"/>
                <w:lang w:val="fr-FR"/>
              </w:rPr>
              <w:t>5</w:t>
            </w:r>
            <w:r w:rsidRPr="00D17611">
              <w:rPr>
                <w:i/>
                <w:sz w:val="16"/>
                <w:lang w:val="fr-FR"/>
              </w:rPr>
              <w:t xml:space="preserve"> (p1</w:t>
            </w:r>
            <w:r>
              <w:rPr>
                <w:i/>
                <w:sz w:val="16"/>
                <w:lang w:val="fr-FR"/>
              </w:rPr>
              <w:t>18</w:t>
            </w:r>
            <w:r w:rsidRPr="00D17611">
              <w:rPr>
                <w:i/>
                <w:sz w:val="16"/>
                <w:lang w:val="fr-FR"/>
              </w:rPr>
              <w:t>).</w:t>
            </w:r>
          </w:p>
          <w:p w14:paraId="129702B4" w14:textId="77777777" w:rsidR="00537000" w:rsidRDefault="00537000" w:rsidP="00592E43">
            <w:pPr>
              <w:pStyle w:val="ListParagraph"/>
              <w:ind w:left="364"/>
              <w:jc w:val="both"/>
              <w:rPr>
                <w:i/>
                <w:sz w:val="16"/>
                <w:szCs w:val="16"/>
                <w:lang w:val="en-US"/>
              </w:rPr>
            </w:pPr>
            <w:r w:rsidRPr="00D17611">
              <w:rPr>
                <w:i/>
                <w:sz w:val="16"/>
                <w:szCs w:val="16"/>
                <w:lang w:val="en-US"/>
              </w:rPr>
              <w:t xml:space="preserve">NICE (2018), « Bed Occupancy », </w:t>
            </w:r>
            <w:hyperlink r:id="rId8" w:history="1">
              <w:r w:rsidRPr="00211D71">
                <w:rPr>
                  <w:rStyle w:val="Hyperlink"/>
                  <w:i/>
                  <w:sz w:val="16"/>
                  <w:szCs w:val="16"/>
                  <w:lang w:val="en-US"/>
                </w:rPr>
                <w:t>https://www.nice.org.uk/guidance/ng94/evidence/39.bed-occupancy-pdf-172397464704</w:t>
              </w:r>
            </w:hyperlink>
            <w:r w:rsidRPr="00AE090C">
              <w:rPr>
                <w:i/>
                <w:sz w:val="16"/>
                <w:szCs w:val="16"/>
                <w:lang w:val="en-US"/>
              </w:rPr>
              <w:t>.</w:t>
            </w:r>
          </w:p>
          <w:p w14:paraId="464F5D20" w14:textId="77777777" w:rsidR="00537000" w:rsidRPr="001908A5" w:rsidRDefault="00537000" w:rsidP="00592E43">
            <w:pPr>
              <w:pStyle w:val="ListParagraph"/>
              <w:ind w:left="364"/>
              <w:jc w:val="both"/>
              <w:rPr>
                <w:i/>
                <w:sz w:val="16"/>
                <w:lang w:val="fr-FR"/>
              </w:rPr>
            </w:pPr>
            <w:r w:rsidRPr="00D17611">
              <w:rPr>
                <w:rFonts w:cs="Helvetica"/>
                <w:i/>
                <w:sz w:val="16"/>
                <w:szCs w:val="16"/>
              </w:rPr>
              <w:t xml:space="preserve">(Convention conclue entre la CNS et la FHL en exécution de l’article 75 et suivants du Code de la sécurité sociale, applicable au 01.02.2026 : </w:t>
            </w:r>
            <w:hyperlink r:id="rId9" w:history="1">
              <w:r w:rsidRPr="00211D71">
                <w:rPr>
                  <w:rStyle w:val="Hyperlink"/>
                  <w:i/>
                  <w:sz w:val="16"/>
                  <w:szCs w:val="16"/>
                </w:rPr>
                <w:t>https://cns.public.lu/dam-assets/legislations/convention/convention-cns-fhl-version-coordonne-au-01022026.pdf</w:t>
              </w:r>
            </w:hyperlink>
            <w:hyperlink w:history="1"/>
            <w:r w:rsidRPr="00D17611">
              <w:rPr>
                <w:rFonts w:cs="Helvetica"/>
                <w:i/>
                <w:sz w:val="16"/>
                <w:szCs w:val="16"/>
              </w:rPr>
              <w:t>)</w:t>
            </w:r>
            <w:r w:rsidRPr="00D17611">
              <w:rPr>
                <w:rFonts w:cs="Helvetica"/>
                <w:sz w:val="16"/>
                <w:szCs w:val="16"/>
              </w:rPr>
              <w:t xml:space="preserve"> </w:t>
            </w:r>
          </w:p>
          <w:bookmarkEnd w:id="14"/>
          <w:p w14:paraId="6DB47521" w14:textId="77777777" w:rsidR="00537000" w:rsidRPr="008A114D" w:rsidRDefault="00537000" w:rsidP="00592E43">
            <w:pPr>
              <w:pStyle w:val="ListParagraph"/>
              <w:ind w:left="364"/>
              <w:jc w:val="both"/>
              <w:rPr>
                <w:rFonts w:cstheme="minorHAnsi"/>
                <w:b/>
                <w:szCs w:val="20"/>
                <w:lang w:val="fr-FR"/>
              </w:rPr>
            </w:pPr>
          </w:p>
        </w:tc>
      </w:tr>
      <w:tr w:rsidR="00537000" w:rsidRPr="001E2D72" w14:paraId="6D78496C" w14:textId="77777777" w:rsidTr="00592E43">
        <w:tc>
          <w:tcPr>
            <w:tcW w:w="1418" w:type="dxa"/>
            <w:shd w:val="clear" w:color="auto" w:fill="B7D4EF" w:themeFill="text2" w:themeFillTint="33"/>
          </w:tcPr>
          <w:p w14:paraId="4250F3A7" w14:textId="77777777" w:rsidR="00537000" w:rsidRPr="00E1451F" w:rsidRDefault="00537000" w:rsidP="00592E43">
            <w:pPr>
              <w:rPr>
                <w:rFonts w:cstheme="minorHAnsi"/>
                <w:b/>
                <w:color w:val="196B24" w:themeColor="accent3"/>
                <w:szCs w:val="20"/>
                <w:lang w:val="fr-FR"/>
              </w:rPr>
            </w:pPr>
            <w:proofErr w:type="spellStart"/>
            <w:r w:rsidRPr="00E1451F">
              <w:rPr>
                <w:rFonts w:cstheme="minorHAnsi"/>
                <w:b/>
                <w:color w:val="196B24" w:themeColor="accent3"/>
                <w:szCs w:val="20"/>
                <w:lang w:val="fr-FR"/>
              </w:rPr>
              <w:t>Documen-tation</w:t>
            </w:r>
            <w:proofErr w:type="spellEnd"/>
            <w:r w:rsidRPr="00E1451F">
              <w:rPr>
                <w:rFonts w:cstheme="minorHAnsi"/>
                <w:b/>
                <w:color w:val="196B24" w:themeColor="accent3"/>
                <w:szCs w:val="20"/>
                <w:lang w:val="fr-FR"/>
              </w:rPr>
              <w:t xml:space="preserve"> et </w:t>
            </w:r>
            <w:proofErr w:type="spellStart"/>
            <w:r w:rsidRPr="00E1451F">
              <w:rPr>
                <w:rFonts w:cstheme="minorHAnsi"/>
                <w:b/>
                <w:color w:val="196B24" w:themeColor="accent3"/>
                <w:szCs w:val="20"/>
                <w:lang w:val="fr-FR"/>
              </w:rPr>
              <w:t>Classifica-tion</w:t>
            </w:r>
            <w:proofErr w:type="spellEnd"/>
            <w:r w:rsidRPr="00E1451F">
              <w:rPr>
                <w:rFonts w:cstheme="minorHAnsi"/>
                <w:b/>
                <w:color w:val="196B24" w:themeColor="accent3"/>
                <w:szCs w:val="20"/>
                <w:lang w:val="fr-FR"/>
              </w:rPr>
              <w:t xml:space="preserve"> des Séjours Hospitaliers</w:t>
            </w:r>
          </w:p>
        </w:tc>
        <w:tc>
          <w:tcPr>
            <w:tcW w:w="8647" w:type="dxa"/>
          </w:tcPr>
          <w:p w14:paraId="36A01DD8" w14:textId="77777777" w:rsidR="00537000" w:rsidRPr="00A85DDB" w:rsidRDefault="00537000" w:rsidP="00592E43">
            <w:pPr>
              <w:jc w:val="both"/>
              <w:rPr>
                <w:rFonts w:cstheme="minorHAnsi"/>
                <w:bCs/>
                <w:szCs w:val="20"/>
                <w:lang w:val="fr-FR"/>
              </w:rPr>
            </w:pPr>
            <w:r w:rsidRPr="00A85DDB">
              <w:rPr>
                <w:rFonts w:cstheme="minorHAnsi"/>
                <w:bCs/>
                <w:szCs w:val="20"/>
                <w:lang w:val="fr-FR"/>
              </w:rPr>
              <w:t>Pour cette édition 2025 de la Carte sanitaire, l’exploitation des variables issues du système de documentation et de classification des séjours hospitaliers (DCSH) transmises par l’IGSS a été restreinte aux séjours stationnaires et aux séjours de rééducation. La méthodologie retenue repose sur les données de facturation et identifie les séjours hospitaliers ayant fait l’objet d’une admission formelle, matérialisée par la facturation d’une unité d’œuvre (UO) de soins normaux, de soins intensifs, de soins palliatifs ou de rééducation.</w:t>
            </w:r>
          </w:p>
          <w:p w14:paraId="37A5A895" w14:textId="77777777" w:rsidR="00537000" w:rsidRPr="00A85DDB" w:rsidRDefault="00537000" w:rsidP="00592E43">
            <w:pPr>
              <w:jc w:val="both"/>
              <w:rPr>
                <w:rFonts w:cstheme="minorHAnsi"/>
                <w:bCs/>
                <w:szCs w:val="20"/>
                <w:lang w:val="fr-FR"/>
              </w:rPr>
            </w:pPr>
          </w:p>
          <w:p w14:paraId="6941300C" w14:textId="77777777" w:rsidR="00537000" w:rsidRPr="00A85DDB" w:rsidRDefault="00537000" w:rsidP="00592E43">
            <w:pPr>
              <w:jc w:val="both"/>
              <w:rPr>
                <w:rFonts w:cstheme="minorHAnsi"/>
                <w:bCs/>
                <w:szCs w:val="20"/>
                <w:lang w:val="fr-FR"/>
              </w:rPr>
            </w:pPr>
            <w:r w:rsidRPr="00A85DDB">
              <w:rPr>
                <w:rFonts w:cstheme="minorHAnsi"/>
                <w:bCs/>
                <w:szCs w:val="20"/>
                <w:lang w:val="fr-FR"/>
              </w:rPr>
              <w:t>Bien que les données de facturation et celles de la DCSH ne soient pas strictement superposables, cette approche permet de décrire de manière exhaustive les motifs d’hospitalisation des séjours stationnaires, ceux-ci étant systématiquement associés à une admission formelle dans les données de facturation. En revanche, elle ne permet pas de rendre compte de manière exhaustive des motifs d’hospitalisation liés à l’activité d’hospitalisation de jour. En effet, certaines prises en charge enregistrées comme hospitalisations de jour dans la DCSH ne sont pas associées aux unités d’œuvre retenues dans la méthodologie de la Carte sanitaire. À titre d’exemple, une part importante des séjours classés dans l’APR-DRG 696 (« Autre chimiothérapie ») correspond à une activité ambulatoire sans admission formelle et est associée à des unités d’œuvre différentes de celles utilisées pour identifier les séjours hospitaliers dans le cadre de cette analyse.</w:t>
            </w:r>
          </w:p>
          <w:p w14:paraId="04DD26FC" w14:textId="77777777" w:rsidR="00537000" w:rsidRPr="00A85DDB" w:rsidRDefault="00537000" w:rsidP="00592E43">
            <w:pPr>
              <w:jc w:val="both"/>
              <w:rPr>
                <w:rFonts w:cstheme="minorHAnsi"/>
                <w:bCs/>
                <w:szCs w:val="20"/>
                <w:lang w:val="fr-FR"/>
              </w:rPr>
            </w:pPr>
          </w:p>
          <w:p w14:paraId="332D573B" w14:textId="77777777" w:rsidR="00537000" w:rsidRPr="001E2D72" w:rsidRDefault="00537000" w:rsidP="00592E43">
            <w:pPr>
              <w:jc w:val="both"/>
              <w:rPr>
                <w:rFonts w:cstheme="minorHAnsi"/>
                <w:bCs/>
                <w:szCs w:val="20"/>
                <w:lang w:val="fr-FR"/>
              </w:rPr>
            </w:pPr>
            <w:r w:rsidRPr="00A85DDB">
              <w:rPr>
                <w:rFonts w:cstheme="minorHAnsi"/>
                <w:bCs/>
                <w:szCs w:val="20"/>
                <w:lang w:val="fr-FR"/>
              </w:rPr>
              <w:t>Par conséquent, l’utilisation exclusive des données de facturation permettant d’identifier les admissions formelles ne permet pas de garantir une représentation exhaustive et comparable de leurs motifs. Pour cette raison, les motifs d’hospitalisation de jour ne sont pas présentés dans cette édition de la Carte sanitaire.</w:t>
            </w:r>
          </w:p>
        </w:tc>
      </w:tr>
      <w:bookmarkEnd w:id="13"/>
    </w:tbl>
    <w:p w14:paraId="3AA5B004" w14:textId="77777777" w:rsidR="00537000" w:rsidRDefault="00537000" w:rsidP="00537000">
      <w:pPr>
        <w:rPr>
          <w:b/>
          <w:u w:val="single"/>
        </w:rPr>
      </w:pPr>
    </w:p>
    <w:p w14:paraId="015E65FE" w14:textId="77777777" w:rsidR="00537000" w:rsidRDefault="00537000" w:rsidP="00537000">
      <w:pPr>
        <w:rPr>
          <w:b/>
          <w:u w:val="single"/>
        </w:rPr>
      </w:pPr>
      <w:r>
        <w:rPr>
          <w:b/>
          <w:u w:val="single"/>
        </w:rPr>
        <w:br w:type="page"/>
      </w:r>
    </w:p>
    <w:p w14:paraId="1D7B8144" w14:textId="77777777" w:rsidR="00537000" w:rsidRPr="00004022" w:rsidRDefault="00537000" w:rsidP="00537000">
      <w:pPr>
        <w:rPr>
          <w:b/>
          <w:u w:val="single"/>
          <w:lang w:val="fr-FR"/>
        </w:rPr>
      </w:pPr>
      <w:bookmarkStart w:id="15" w:name="_Hlk166661729"/>
      <w:r w:rsidRPr="00004022">
        <w:rPr>
          <w:b/>
          <w:u w:val="single"/>
          <w:lang w:val="fr-FR"/>
        </w:rPr>
        <w:t>Limites</w:t>
      </w:r>
    </w:p>
    <w:p w14:paraId="261AC5D4" w14:textId="77777777" w:rsidR="00537000" w:rsidRPr="007970EB" w:rsidRDefault="00537000" w:rsidP="00537000">
      <w:pPr>
        <w:rPr>
          <w:b/>
          <w:u w:val="single"/>
          <w:lang w:val="fr-FR"/>
        </w:rPr>
      </w:pPr>
    </w:p>
    <w:p w14:paraId="6C2416DD" w14:textId="77777777" w:rsidR="00537000" w:rsidRPr="00004022" w:rsidRDefault="00537000" w:rsidP="00537000">
      <w:pPr>
        <w:pStyle w:val="ListParagraph"/>
        <w:numPr>
          <w:ilvl w:val="0"/>
          <w:numId w:val="5"/>
        </w:numPr>
        <w:ind w:left="284" w:hanging="218"/>
        <w:jc w:val="both"/>
        <w:rPr>
          <w:rFonts w:cstheme="minorHAnsi"/>
          <w:b/>
          <w:szCs w:val="20"/>
          <w:lang w:val="fr-FR"/>
        </w:rPr>
      </w:pPr>
      <w:r w:rsidRPr="00004022">
        <w:rPr>
          <w:rFonts w:cstheme="minorHAnsi"/>
          <w:szCs w:val="20"/>
          <w:lang w:val="fr-FR"/>
        </w:rPr>
        <w:t>Le mode d’admission</w:t>
      </w:r>
      <w:r>
        <w:rPr>
          <w:rFonts w:cstheme="minorHAnsi"/>
          <w:szCs w:val="20"/>
          <w:lang w:val="fr-FR"/>
        </w:rPr>
        <w:t xml:space="preserve"> </w:t>
      </w:r>
      <w:r w:rsidRPr="00004022">
        <w:rPr>
          <w:rFonts w:cstheme="minorHAnsi"/>
          <w:szCs w:val="20"/>
          <w:lang w:val="fr-FR"/>
        </w:rPr>
        <w:t xml:space="preserve">n’étant pas connu, les données </w:t>
      </w:r>
      <w:r w:rsidRPr="00004022">
        <w:rPr>
          <w:rFonts w:cstheme="minorHAnsi"/>
          <w:b/>
          <w:szCs w:val="20"/>
          <w:lang w:val="fr-FR"/>
        </w:rPr>
        <w:t>ne distinguent pas les admissions urgentes des admissions programmées.</w:t>
      </w:r>
    </w:p>
    <w:p w14:paraId="3F8E115C" w14:textId="77777777" w:rsidR="00537000" w:rsidRPr="00004022" w:rsidRDefault="00537000" w:rsidP="00537000">
      <w:pPr>
        <w:ind w:left="284" w:hanging="218"/>
        <w:jc w:val="both"/>
        <w:rPr>
          <w:rFonts w:cstheme="minorHAnsi"/>
          <w:sz w:val="18"/>
          <w:szCs w:val="18"/>
          <w:lang w:val="fr-FR"/>
        </w:rPr>
      </w:pPr>
    </w:p>
    <w:p w14:paraId="483CDC66" w14:textId="77777777" w:rsidR="00537000" w:rsidRPr="00004022" w:rsidRDefault="00537000" w:rsidP="00537000">
      <w:pPr>
        <w:pStyle w:val="ListParagraph"/>
        <w:numPr>
          <w:ilvl w:val="0"/>
          <w:numId w:val="5"/>
        </w:numPr>
        <w:ind w:left="284" w:hanging="218"/>
        <w:jc w:val="both"/>
        <w:rPr>
          <w:rFonts w:cstheme="minorHAnsi"/>
          <w:sz w:val="18"/>
          <w:szCs w:val="18"/>
          <w:lang w:val="fr-FR"/>
        </w:rPr>
      </w:pPr>
      <w:bookmarkStart w:id="16" w:name="_Hlk163144097"/>
      <w:r w:rsidRPr="00004022">
        <w:rPr>
          <w:rFonts w:cstheme="minorHAnsi"/>
          <w:b/>
          <w:szCs w:val="20"/>
          <w:lang w:val="fr-FR"/>
        </w:rPr>
        <w:t>En termes d’exhaustivité de la population couverte</w:t>
      </w:r>
      <w:r w:rsidRPr="00004022">
        <w:rPr>
          <w:rFonts w:cstheme="minorHAnsi"/>
          <w:szCs w:val="20"/>
          <w:lang w:val="fr-FR"/>
        </w:rPr>
        <w:t xml:space="preserve"> : l’absence de recensement des données </w:t>
      </w:r>
      <w:r w:rsidRPr="00004022">
        <w:rPr>
          <w:rFonts w:cstheme="minorHAnsi"/>
          <w:b/>
          <w:szCs w:val="20"/>
          <w:lang w:val="fr-FR"/>
        </w:rPr>
        <w:t>d’activités non opposables</w:t>
      </w:r>
      <w:r w:rsidRPr="00004022">
        <w:rPr>
          <w:rFonts w:cstheme="minorHAnsi"/>
          <w:szCs w:val="20"/>
          <w:lang w:val="fr-FR"/>
        </w:rPr>
        <w:t xml:space="preserve"> et de la population non protégée par la sécurité sociale empêche la constitution d’une base de données permettant d’identifier et de disposer de l’ensemble de l’activité hospitalière. Ainsi, les données d’hospitalisation telles que le nombre de séjours et de journées et l’occupation des lits, sont sous-estimées de façon correspondante. </w:t>
      </w:r>
      <w:bookmarkStart w:id="17" w:name="_Hlk32349752"/>
      <w:r w:rsidRPr="00004022">
        <w:rPr>
          <w:rFonts w:cstheme="minorHAnsi"/>
          <w:szCs w:val="20"/>
          <w:lang w:val="fr-FR"/>
        </w:rPr>
        <w:t xml:space="preserve">Néanmoins, les activités non opposables représentent seulement une faible proportion de l’activité globale </w:t>
      </w:r>
      <w:r w:rsidRPr="00BC4983">
        <w:rPr>
          <w:rFonts w:cstheme="minorHAnsi"/>
          <w:szCs w:val="20"/>
          <w:lang w:val="fr-FR"/>
        </w:rPr>
        <w:t>(</w:t>
      </w:r>
      <w:r>
        <w:rPr>
          <w:rFonts w:cstheme="minorHAnsi"/>
          <w:szCs w:val="20"/>
          <w:lang w:val="fr-FR"/>
        </w:rPr>
        <w:t>3,5</w:t>
      </w:r>
      <w:r w:rsidRPr="00BC4983">
        <w:rPr>
          <w:rFonts w:cstheme="minorHAnsi"/>
          <w:szCs w:val="20"/>
          <w:lang w:val="fr-FR"/>
        </w:rPr>
        <w:t xml:space="preserve">% en </w:t>
      </w:r>
      <w:r>
        <w:rPr>
          <w:rFonts w:cstheme="minorHAnsi"/>
          <w:szCs w:val="20"/>
          <w:lang w:val="fr-FR"/>
        </w:rPr>
        <w:t>2023</w:t>
      </w:r>
      <w:r w:rsidRPr="00BC4983">
        <w:rPr>
          <w:rFonts w:cstheme="minorHAnsi"/>
          <w:szCs w:val="20"/>
          <w:lang w:val="fr-FR"/>
        </w:rPr>
        <w:t>)</w:t>
      </w:r>
      <w:r w:rsidRPr="00004022">
        <w:rPr>
          <w:rFonts w:cstheme="minorHAnsi"/>
          <w:szCs w:val="20"/>
          <w:lang w:val="fr-FR"/>
        </w:rPr>
        <w:t xml:space="preserve"> et les résultats présentés sont une bonne approximation des valeurs réelles. </w:t>
      </w:r>
    </w:p>
    <w:bookmarkEnd w:id="16"/>
    <w:p w14:paraId="61E0170F" w14:textId="77777777" w:rsidR="00537000" w:rsidRPr="00004022" w:rsidRDefault="00537000" w:rsidP="00537000">
      <w:pPr>
        <w:pStyle w:val="ListParagraph"/>
        <w:ind w:left="284" w:hanging="218"/>
        <w:jc w:val="both"/>
        <w:rPr>
          <w:rFonts w:cstheme="minorHAnsi"/>
          <w:sz w:val="18"/>
          <w:szCs w:val="18"/>
          <w:lang w:val="fr-FR"/>
        </w:rPr>
      </w:pPr>
      <w:r w:rsidRPr="00004022">
        <w:rPr>
          <w:rFonts w:cstheme="minorHAnsi"/>
          <w:szCs w:val="20"/>
          <w:lang w:val="fr-FR"/>
        </w:rPr>
        <w:t>Cette remarque ne vaut toutefois pas pour les données relatives aux décès hospitaliers, ces dernières comprenant toutes les personnes décédées dans les hôpitaux visés, qu’elles soient résidentes ou non et qu’elles soient protégées par la sécurité sociale ou non.</w:t>
      </w:r>
    </w:p>
    <w:bookmarkEnd w:id="17"/>
    <w:p w14:paraId="6CE18AC4" w14:textId="77777777" w:rsidR="00537000" w:rsidRPr="00004022" w:rsidRDefault="00537000" w:rsidP="00537000">
      <w:pPr>
        <w:ind w:left="284" w:hanging="218"/>
        <w:jc w:val="both"/>
        <w:rPr>
          <w:rFonts w:cstheme="minorHAnsi"/>
          <w:b/>
          <w:szCs w:val="20"/>
          <w:lang w:val="fr-FR"/>
        </w:rPr>
      </w:pPr>
    </w:p>
    <w:p w14:paraId="239565C2" w14:textId="77777777" w:rsidR="00537000" w:rsidRPr="00004022" w:rsidRDefault="00537000" w:rsidP="00537000">
      <w:pPr>
        <w:pStyle w:val="ListParagraph"/>
        <w:numPr>
          <w:ilvl w:val="0"/>
          <w:numId w:val="5"/>
        </w:numPr>
        <w:ind w:left="284" w:hanging="218"/>
        <w:jc w:val="both"/>
        <w:rPr>
          <w:rFonts w:cstheme="minorHAnsi"/>
          <w:b/>
          <w:szCs w:val="20"/>
          <w:lang w:val="fr-FR"/>
        </w:rPr>
      </w:pPr>
      <w:r w:rsidRPr="00004022">
        <w:rPr>
          <w:rFonts w:cstheme="minorHAnsi"/>
          <w:b/>
          <w:szCs w:val="20"/>
          <w:lang w:val="fr-FR"/>
        </w:rPr>
        <w:t>En termes de disponibilité des données</w:t>
      </w:r>
      <w:r w:rsidRPr="00004022">
        <w:rPr>
          <w:rFonts w:cstheme="minorHAnsi"/>
          <w:szCs w:val="20"/>
          <w:lang w:val="fr-FR"/>
        </w:rPr>
        <w:t> : limitation liée à l’absence de clôture réelle de la base de données de la sécurité sociale.</w:t>
      </w:r>
      <w:r>
        <w:rPr>
          <w:rFonts w:cstheme="minorHAnsi"/>
          <w:szCs w:val="20"/>
          <w:lang w:val="fr-FR"/>
        </w:rPr>
        <w:t xml:space="preserve"> </w:t>
      </w:r>
      <w:bookmarkStart w:id="18" w:name="_Hlk225511488"/>
      <w:r w:rsidRPr="00802827">
        <w:rPr>
          <w:rFonts w:cstheme="minorHAnsi"/>
          <w:bCs/>
          <w:szCs w:val="20"/>
          <w:lang w:val="fr-FR"/>
        </w:rPr>
        <w:t>Par ailleurs, des anomalies ont été identifiées dans les données</w:t>
      </w:r>
      <w:r>
        <w:rPr>
          <w:rFonts w:cstheme="minorHAnsi"/>
          <w:bCs/>
          <w:szCs w:val="20"/>
          <w:lang w:val="fr-FR"/>
        </w:rPr>
        <w:t xml:space="preserve"> 2023 et 2024</w:t>
      </w:r>
      <w:r w:rsidRPr="00802827">
        <w:rPr>
          <w:rFonts w:cstheme="minorHAnsi"/>
          <w:bCs/>
          <w:szCs w:val="20"/>
          <w:lang w:val="fr-FR"/>
        </w:rPr>
        <w:t xml:space="preserve"> de certains établissements, liées à l’absence de clôture administrative de certains séjours après le décès des patients. Dans ces cas, les séjours étaient prolongés jusqu’à une durée maximale d’environ un an, ce qui a conduit à une surestimation du nombre de journées d’hospitalisation ainsi qu’à un allongement de la durée moyenne de séjour. Il convient toutefois de préciser que ces anomalies n’ont affecté ni les données de facturation, les unités d’œuvre étant facturées jusqu’à la date effective du décès, ni le nombre total de séjours. Lorsque l’impact était important, une correction a été appliquée aux données présentées. En revanche, pour les établissements concernés où l’écart observé sur le nombre de journées d’hospitalisation demeurait inférieur à 0,3%, les données ont été conservées en l’état.</w:t>
      </w:r>
      <w:bookmarkEnd w:id="15"/>
      <w:bookmarkEnd w:id="18"/>
    </w:p>
    <w:p w14:paraId="356D9453" w14:textId="77777777" w:rsidR="00537000" w:rsidRPr="007970EB" w:rsidRDefault="00537000" w:rsidP="00537000">
      <w:pPr>
        <w:pStyle w:val="Newniveau3"/>
      </w:pPr>
      <w:bookmarkStart w:id="19" w:name="_Toc433826857"/>
      <w:bookmarkStart w:id="20" w:name="_Toc161911971"/>
      <w:bookmarkStart w:id="21" w:name="_Toc230556013"/>
      <w:r w:rsidRPr="00D7362E">
        <w:t>Activités médico-techniques</w:t>
      </w:r>
      <w:bookmarkEnd w:id="19"/>
      <w:bookmarkEnd w:id="20"/>
      <w:bookmarkEnd w:id="21"/>
    </w:p>
    <w:p w14:paraId="47E00D9E" w14:textId="77777777" w:rsidR="00537000" w:rsidRPr="00004022" w:rsidRDefault="00537000" w:rsidP="00537000">
      <w:pPr>
        <w:jc w:val="both"/>
        <w:rPr>
          <w:b/>
          <w:sz w:val="24"/>
          <w:u w:val="single"/>
          <w:lang w:val="fr-FR"/>
        </w:rPr>
      </w:pPr>
      <w:bookmarkStart w:id="22" w:name="_Hlk166661800"/>
      <w:bookmarkStart w:id="23" w:name="_Hlk32349830"/>
      <w:r w:rsidRPr="00004022">
        <w:rPr>
          <w:b/>
          <w:u w:val="single"/>
          <w:lang w:val="fr-FR"/>
        </w:rPr>
        <w:t>Source et périmètre des données</w:t>
      </w:r>
      <w:r w:rsidRPr="00004022">
        <w:rPr>
          <w:b/>
          <w:lang w:val="fr-FR"/>
        </w:rPr>
        <w:t xml:space="preserve"> :</w:t>
      </w:r>
    </w:p>
    <w:p w14:paraId="79773B97" w14:textId="77777777" w:rsidR="00537000" w:rsidRPr="00004022" w:rsidRDefault="00537000" w:rsidP="00537000">
      <w:pPr>
        <w:pStyle w:val="ListParagraph"/>
        <w:ind w:left="360"/>
        <w:jc w:val="both"/>
        <w:rPr>
          <w:b/>
          <w:sz w:val="8"/>
          <w:u w:val="single"/>
          <w:lang w:val="fr-FR"/>
        </w:rPr>
      </w:pPr>
    </w:p>
    <w:p w14:paraId="6E35FDD9" w14:textId="77777777" w:rsidR="00537000" w:rsidRPr="00004022" w:rsidRDefault="00537000" w:rsidP="00537000">
      <w:pPr>
        <w:ind w:firstLine="360"/>
        <w:jc w:val="both"/>
        <w:rPr>
          <w:rFonts w:cstheme="minorHAnsi"/>
          <w:szCs w:val="20"/>
          <w:lang w:val="fr-FR"/>
        </w:rPr>
      </w:pPr>
    </w:p>
    <w:p w14:paraId="2858608D" w14:textId="77777777" w:rsidR="00537000" w:rsidRPr="00004022" w:rsidRDefault="00537000" w:rsidP="00537000">
      <w:pPr>
        <w:ind w:firstLine="360"/>
        <w:jc w:val="both"/>
        <w:rPr>
          <w:rFonts w:cstheme="minorHAnsi"/>
          <w:szCs w:val="20"/>
          <w:lang w:val="fr-FR"/>
        </w:rPr>
      </w:pPr>
      <w:r w:rsidRPr="00004022">
        <w:rPr>
          <w:rFonts w:cstheme="minorHAnsi"/>
          <w:sz w:val="18"/>
          <w:szCs w:val="20"/>
          <w:lang w:val="fr-FR"/>
        </w:rPr>
        <w:sym w:font="Wingdings" w:char="F0E0"/>
      </w:r>
      <w:r w:rsidRPr="00004022">
        <w:rPr>
          <w:rFonts w:cstheme="minorHAnsi"/>
          <w:szCs w:val="20"/>
          <w:lang w:val="fr-FR"/>
        </w:rPr>
        <w:t xml:space="preserve"> </w:t>
      </w:r>
      <w:r w:rsidRPr="00004022">
        <w:rPr>
          <w:rFonts w:cstheme="minorHAnsi"/>
          <w:szCs w:val="20"/>
          <w:u w:val="single"/>
          <w:lang w:val="fr-FR"/>
        </w:rPr>
        <w:t>1ère source</w:t>
      </w:r>
      <w:r w:rsidRPr="00004022">
        <w:rPr>
          <w:rFonts w:cstheme="minorHAnsi"/>
          <w:szCs w:val="20"/>
          <w:lang w:val="fr-FR"/>
        </w:rPr>
        <w:t xml:space="preserve"> : </w:t>
      </w:r>
    </w:p>
    <w:p w14:paraId="617CB84B" w14:textId="77777777" w:rsidR="00537000" w:rsidRPr="006517C4" w:rsidRDefault="00537000" w:rsidP="00537000">
      <w:pPr>
        <w:pStyle w:val="ListParagraph"/>
        <w:numPr>
          <w:ilvl w:val="1"/>
          <w:numId w:val="62"/>
        </w:numPr>
        <w:ind w:left="993" w:hanging="142"/>
        <w:rPr>
          <w:rFonts w:cstheme="minorHAnsi"/>
          <w:szCs w:val="20"/>
          <w:lang w:val="fr-FR"/>
        </w:rPr>
      </w:pPr>
      <w:r w:rsidRPr="006517C4">
        <w:rPr>
          <w:rFonts w:cstheme="minorHAnsi"/>
          <w:szCs w:val="20"/>
          <w:lang w:val="fr-FR"/>
        </w:rPr>
        <w:t>IGSS : Comptabilité des établissements hospitaliers (cascade des frais réels) : données de facturation non opposables déclarées par les hôpitaux.</w:t>
      </w:r>
    </w:p>
    <w:p w14:paraId="08B7027F" w14:textId="77777777" w:rsidR="00537000" w:rsidRPr="00004022" w:rsidRDefault="00537000" w:rsidP="00537000">
      <w:pPr>
        <w:pStyle w:val="ListParagraph"/>
        <w:numPr>
          <w:ilvl w:val="1"/>
          <w:numId w:val="62"/>
        </w:numPr>
        <w:ind w:left="993" w:hanging="142"/>
        <w:jc w:val="both"/>
        <w:rPr>
          <w:rFonts w:cstheme="minorHAnsi"/>
          <w:b/>
          <w:szCs w:val="20"/>
          <w:u w:val="single"/>
          <w:lang w:val="fr-FR"/>
        </w:rPr>
      </w:pPr>
      <w:r w:rsidRPr="00004022">
        <w:rPr>
          <w:rFonts w:cstheme="minorHAnsi"/>
          <w:szCs w:val="20"/>
          <w:lang w:val="fr-FR"/>
        </w:rPr>
        <w:t xml:space="preserve">Extraction : </w:t>
      </w:r>
      <w:r>
        <w:rPr>
          <w:rFonts w:cstheme="minorHAnsi"/>
          <w:szCs w:val="20"/>
          <w:lang w:val="fr-FR"/>
        </w:rPr>
        <w:t>IGSS</w:t>
      </w:r>
    </w:p>
    <w:p w14:paraId="6FE76F2B" w14:textId="77777777" w:rsidR="00537000" w:rsidRPr="000D3C14" w:rsidRDefault="00537000" w:rsidP="00537000">
      <w:pPr>
        <w:pStyle w:val="ListParagraph"/>
        <w:numPr>
          <w:ilvl w:val="1"/>
          <w:numId w:val="62"/>
        </w:numPr>
        <w:ind w:left="993" w:hanging="142"/>
        <w:jc w:val="both"/>
        <w:rPr>
          <w:rFonts w:cstheme="minorHAnsi"/>
          <w:b/>
          <w:szCs w:val="20"/>
          <w:u w:val="single"/>
          <w:lang w:val="fr-FR"/>
        </w:rPr>
      </w:pPr>
      <w:r w:rsidRPr="00FD15FA">
        <w:rPr>
          <w:rFonts w:cstheme="minorHAnsi"/>
          <w:szCs w:val="20"/>
          <w:lang w:val="fr-FR"/>
        </w:rPr>
        <w:t xml:space="preserve">Traitement final pour la présente Carte sanitaire : </w:t>
      </w:r>
      <w:r w:rsidRPr="005B6F50">
        <w:rPr>
          <w:rFonts w:cstheme="minorHAnsi"/>
          <w:szCs w:val="20"/>
          <w:lang w:val="fr-FR"/>
        </w:rPr>
        <w:t>ObSanté</w:t>
      </w:r>
    </w:p>
    <w:p w14:paraId="1CA0A4D5" w14:textId="77777777" w:rsidR="00537000" w:rsidRPr="006517C4" w:rsidRDefault="00537000" w:rsidP="00537000">
      <w:pPr>
        <w:ind w:left="720"/>
        <w:jc w:val="both"/>
        <w:rPr>
          <w:rFonts w:cstheme="minorHAnsi"/>
          <w:szCs w:val="20"/>
          <w:lang w:val="fr-FR"/>
        </w:rPr>
      </w:pPr>
      <w:bookmarkStart w:id="24" w:name="_Hlk43191705"/>
      <w:r w:rsidRPr="006517C4">
        <w:rPr>
          <w:rFonts w:cstheme="minorHAnsi"/>
          <w:szCs w:val="20"/>
          <w:lang w:val="fr-FR"/>
        </w:rPr>
        <w:t xml:space="preserve">Les données de facturation présentées proviennent de la comptabilité des hôpitaux et correspondent aux </w:t>
      </w:r>
      <w:r w:rsidRPr="009779F0">
        <w:rPr>
          <w:rFonts w:cstheme="minorHAnsi"/>
          <w:szCs w:val="20"/>
          <w:lang w:val="fr-FR"/>
        </w:rPr>
        <w:t xml:space="preserve">unités d’œuvre réalisés déclarées par les établissements et non-opposables à la CNS (personnes non-protégées et prestations exclues de l’assurance maladie-maternité) </w:t>
      </w:r>
      <w:r w:rsidRPr="006517C4">
        <w:rPr>
          <w:rFonts w:cstheme="minorHAnsi"/>
          <w:szCs w:val="20"/>
          <w:lang w:val="fr-FR"/>
        </w:rPr>
        <w:t>et qui concernent les résidents et les non-résidents, les patients hospitalisés et ambulatoires.</w:t>
      </w:r>
    </w:p>
    <w:p w14:paraId="59E03B8C" w14:textId="77777777" w:rsidR="00537000" w:rsidRPr="00004022" w:rsidRDefault="00537000" w:rsidP="00537000">
      <w:pPr>
        <w:ind w:left="720"/>
        <w:jc w:val="both"/>
        <w:rPr>
          <w:rFonts w:cstheme="minorHAnsi"/>
          <w:szCs w:val="20"/>
          <w:lang w:val="fr-FR"/>
        </w:rPr>
      </w:pPr>
      <w:r w:rsidRPr="006517C4">
        <w:rPr>
          <w:rFonts w:cstheme="minorHAnsi"/>
          <w:szCs w:val="20"/>
          <w:lang w:val="fr-FR"/>
        </w:rPr>
        <w:t>Les établissements concernés sont tous les établissements de santé qui produisent ces unités d’œuvre, qu’ils soient centres hospitaliers, établissements spécialisés avec des lits aigus ou de moyen séjour.</w:t>
      </w:r>
    </w:p>
    <w:bookmarkEnd w:id="24"/>
    <w:p w14:paraId="0A593E3B" w14:textId="77777777" w:rsidR="00537000" w:rsidRPr="00004022" w:rsidRDefault="00537000" w:rsidP="00537000">
      <w:pPr>
        <w:pStyle w:val="ListParagraph"/>
        <w:ind w:left="1080"/>
        <w:jc w:val="both"/>
        <w:rPr>
          <w:lang w:val="fr-FR"/>
        </w:rPr>
      </w:pPr>
    </w:p>
    <w:p w14:paraId="1CB52524" w14:textId="77777777" w:rsidR="00537000" w:rsidRPr="00004022" w:rsidRDefault="00537000" w:rsidP="00537000">
      <w:pPr>
        <w:ind w:firstLine="360"/>
        <w:jc w:val="both"/>
        <w:rPr>
          <w:rFonts w:cstheme="minorHAnsi"/>
          <w:szCs w:val="20"/>
          <w:lang w:val="fr-FR"/>
        </w:rPr>
      </w:pPr>
      <w:r w:rsidRPr="00004022">
        <w:rPr>
          <w:rFonts w:cstheme="minorHAnsi"/>
          <w:sz w:val="18"/>
          <w:szCs w:val="20"/>
          <w:lang w:val="fr-FR"/>
        </w:rPr>
        <w:sym w:font="Wingdings" w:char="F0E0"/>
      </w:r>
      <w:r w:rsidRPr="00004022">
        <w:rPr>
          <w:rFonts w:cstheme="minorHAnsi"/>
          <w:szCs w:val="20"/>
          <w:lang w:val="fr-FR"/>
        </w:rPr>
        <w:t xml:space="preserve"> </w:t>
      </w:r>
      <w:r w:rsidRPr="00004022">
        <w:rPr>
          <w:rFonts w:cstheme="minorHAnsi"/>
          <w:szCs w:val="20"/>
          <w:u w:val="single"/>
          <w:lang w:val="fr-FR"/>
        </w:rPr>
        <w:t>2ème source</w:t>
      </w:r>
      <w:r w:rsidRPr="00004022">
        <w:rPr>
          <w:rFonts w:cstheme="minorHAnsi"/>
          <w:szCs w:val="20"/>
          <w:lang w:val="fr-FR"/>
        </w:rPr>
        <w:t xml:space="preserve"> : </w:t>
      </w:r>
    </w:p>
    <w:p w14:paraId="6C5EA965" w14:textId="77777777" w:rsidR="00537000" w:rsidRPr="00004022" w:rsidRDefault="00537000" w:rsidP="00537000">
      <w:pPr>
        <w:pStyle w:val="ListParagraph"/>
        <w:numPr>
          <w:ilvl w:val="1"/>
          <w:numId w:val="63"/>
        </w:numPr>
        <w:ind w:left="993" w:hanging="142"/>
        <w:jc w:val="both"/>
        <w:rPr>
          <w:rFonts w:cstheme="minorHAnsi"/>
          <w:b/>
          <w:szCs w:val="20"/>
          <w:u w:val="single"/>
          <w:lang w:val="fr-FR"/>
        </w:rPr>
      </w:pPr>
      <w:r w:rsidRPr="00004022">
        <w:rPr>
          <w:rFonts w:cstheme="minorHAnsi"/>
          <w:szCs w:val="20"/>
          <w:lang w:val="fr-FR"/>
        </w:rPr>
        <w:t xml:space="preserve">IGSS : données de facturation </w:t>
      </w:r>
      <w:r>
        <w:rPr>
          <w:rFonts w:cstheme="minorHAnsi"/>
          <w:szCs w:val="20"/>
          <w:lang w:val="fr-FR"/>
        </w:rPr>
        <w:t>de la CNS</w:t>
      </w:r>
      <w:r w:rsidRPr="00004022">
        <w:rPr>
          <w:rFonts w:cstheme="minorHAnsi"/>
          <w:szCs w:val="20"/>
          <w:lang w:val="fr-FR"/>
        </w:rPr>
        <w:t xml:space="preserve"> </w:t>
      </w:r>
    </w:p>
    <w:p w14:paraId="0695874C" w14:textId="77777777" w:rsidR="00537000" w:rsidRPr="00004022" w:rsidRDefault="00537000" w:rsidP="00537000">
      <w:pPr>
        <w:pStyle w:val="ListParagraph"/>
        <w:numPr>
          <w:ilvl w:val="1"/>
          <w:numId w:val="63"/>
        </w:numPr>
        <w:ind w:left="993" w:hanging="142"/>
        <w:jc w:val="both"/>
        <w:rPr>
          <w:rFonts w:cstheme="minorHAnsi"/>
          <w:b/>
          <w:szCs w:val="20"/>
          <w:u w:val="single"/>
          <w:lang w:val="fr-FR"/>
        </w:rPr>
      </w:pPr>
      <w:r w:rsidRPr="00004022">
        <w:rPr>
          <w:rFonts w:cstheme="minorHAnsi"/>
          <w:szCs w:val="20"/>
          <w:lang w:val="fr-FR"/>
        </w:rPr>
        <w:t>Extraction : IGSS</w:t>
      </w:r>
    </w:p>
    <w:p w14:paraId="31742EF9" w14:textId="77777777" w:rsidR="00537000" w:rsidRDefault="00537000" w:rsidP="00537000">
      <w:pPr>
        <w:pStyle w:val="ListParagraph"/>
        <w:numPr>
          <w:ilvl w:val="1"/>
          <w:numId w:val="63"/>
        </w:numPr>
        <w:ind w:left="993" w:hanging="142"/>
        <w:jc w:val="both"/>
        <w:rPr>
          <w:rFonts w:cstheme="minorHAnsi"/>
          <w:szCs w:val="20"/>
          <w:lang w:val="fr-FR"/>
        </w:rPr>
      </w:pPr>
      <w:r w:rsidRPr="00FD15FA">
        <w:rPr>
          <w:rFonts w:cstheme="minorHAnsi"/>
          <w:szCs w:val="20"/>
          <w:lang w:val="fr-FR"/>
        </w:rPr>
        <w:t xml:space="preserve">Traitement final pour la présente Carte sanitaire : </w:t>
      </w:r>
      <w:bookmarkStart w:id="25" w:name="_Hlk225511715"/>
      <w:r w:rsidRPr="005B6F50">
        <w:rPr>
          <w:rFonts w:cstheme="minorHAnsi"/>
          <w:szCs w:val="20"/>
          <w:lang w:val="fr-FR"/>
        </w:rPr>
        <w:t>ObSanté</w:t>
      </w:r>
      <w:bookmarkEnd w:id="25"/>
    </w:p>
    <w:p w14:paraId="513AE16B" w14:textId="77777777" w:rsidR="00537000" w:rsidRDefault="00537000" w:rsidP="00537000">
      <w:pPr>
        <w:ind w:left="720"/>
        <w:jc w:val="both"/>
        <w:rPr>
          <w:rFonts w:cstheme="minorHAnsi"/>
          <w:szCs w:val="20"/>
          <w:lang w:val="fr-FR"/>
        </w:rPr>
      </w:pPr>
      <w:r w:rsidRPr="00112618">
        <w:rPr>
          <w:rFonts w:cstheme="minorHAnsi"/>
          <w:szCs w:val="20"/>
          <w:lang w:val="fr-FR"/>
        </w:rPr>
        <w:t>Ces données de facturation correspondent à toutes les unités d’œuvre opposables à la CNS et prises en charge par celle-ci. Sont concernés les résidents et les non-résidents, les patients hospitalisés et ambulatoires.</w:t>
      </w:r>
    </w:p>
    <w:p w14:paraId="5AE6B357" w14:textId="77777777" w:rsidR="00537000" w:rsidRPr="00004022" w:rsidRDefault="00537000" w:rsidP="00537000">
      <w:pPr>
        <w:ind w:left="720"/>
        <w:jc w:val="both"/>
        <w:rPr>
          <w:lang w:val="fr-FR"/>
        </w:rPr>
      </w:pPr>
    </w:p>
    <w:p w14:paraId="5F7AF8E7" w14:textId="77777777" w:rsidR="00537000" w:rsidRPr="00004022" w:rsidRDefault="00537000" w:rsidP="00537000">
      <w:pPr>
        <w:jc w:val="both"/>
        <w:rPr>
          <w:lang w:val="fr-FR"/>
        </w:rPr>
      </w:pPr>
      <w:r w:rsidRPr="00004022">
        <w:rPr>
          <w:b/>
          <w:u w:val="single"/>
          <w:lang w:val="fr-FR"/>
        </w:rPr>
        <w:t>Définition et mode de comptabilisation</w:t>
      </w:r>
      <w:r w:rsidRPr="00004022">
        <w:rPr>
          <w:b/>
          <w:lang w:val="fr-FR"/>
        </w:rPr>
        <w:t> :</w:t>
      </w:r>
      <w:r w:rsidRPr="00004022">
        <w:rPr>
          <w:lang w:val="fr-FR"/>
        </w:rPr>
        <w:t xml:space="preserve"> les unités d’œuvre (UO) sont des unités de facturation par les hôpitaux de prestations qui recouvrent des contenus différents selon l’entité fonctionnelle considérée.</w:t>
      </w:r>
    </w:p>
    <w:p w14:paraId="0BABB021" w14:textId="77777777" w:rsidR="00537000" w:rsidRPr="007970EB" w:rsidRDefault="00537000" w:rsidP="00537000">
      <w:pPr>
        <w:jc w:val="both"/>
        <w:rPr>
          <w:lang w:val="fr-FR"/>
        </w:rPr>
      </w:pPr>
    </w:p>
    <w:p w14:paraId="54909F47" w14:textId="77777777" w:rsidR="00537000" w:rsidRPr="00CE5895" w:rsidRDefault="00537000" w:rsidP="00537000">
      <w:pPr>
        <w:rPr>
          <w:rStyle w:val="SubtleReference"/>
        </w:rPr>
      </w:pPr>
      <w:r w:rsidRPr="00CE5895">
        <w:rPr>
          <w:rStyle w:val="SubtleReference"/>
        </w:rPr>
        <w:t>Les statistiques des UO se rapportent à l’année civile sur base de la date de la prestation, en principe selon un mode uniforme pour tous les établissements, retenu par la Convention conclue entre la Caisse Nationale de Santé et la Fédération des Hôpitaux Luxembourgeois.</w:t>
      </w:r>
      <w:bookmarkStart w:id="26" w:name="_Hlk163144219"/>
      <w:r>
        <w:rPr>
          <w:rStyle w:val="SubtleReference"/>
        </w:rPr>
        <w:t xml:space="preserve"> </w:t>
      </w:r>
      <w:r w:rsidRPr="00CE5895">
        <w:rPr>
          <w:rStyle w:val="SubtleReference"/>
        </w:rPr>
        <w:t xml:space="preserve">(Convention conclue entre la CNS et la FHL en exécution de l’article 75 et suivants du Code de la sécurité sociale, applicable au 01.02.2026: </w:t>
      </w:r>
    </w:p>
    <w:p w14:paraId="4B3B56F6" w14:textId="77777777" w:rsidR="00537000" w:rsidRPr="009D2B1C" w:rsidRDefault="00537000" w:rsidP="00537000">
      <w:pPr>
        <w:jc w:val="both"/>
        <w:rPr>
          <w:i/>
          <w:sz w:val="16"/>
          <w:szCs w:val="16"/>
          <w:lang w:val="fr-FR"/>
        </w:rPr>
      </w:pPr>
      <w:hyperlink r:id="rId10" w:history="1">
        <w:r>
          <w:rPr>
            <w:rStyle w:val="Hyperlink"/>
            <w:i/>
            <w:sz w:val="16"/>
            <w:szCs w:val="16"/>
          </w:rPr>
          <w:t>https://cns.public.lu/dam-assets/legislations/convention/convention-cns-fhl-version-coordonne-au-01022026.pdf</w:t>
        </w:r>
      </w:hyperlink>
      <w:hyperlink w:history="1"/>
      <w:r w:rsidRPr="009D2B1C">
        <w:rPr>
          <w:i/>
          <w:sz w:val="16"/>
          <w:szCs w:val="16"/>
          <w:lang w:val="fr-FR"/>
        </w:rPr>
        <w:t>)</w:t>
      </w:r>
      <w:r w:rsidRPr="009D2B1C">
        <w:rPr>
          <w:sz w:val="16"/>
          <w:szCs w:val="16"/>
          <w:lang w:val="fr-FR"/>
        </w:rPr>
        <w:t xml:space="preserve"> </w:t>
      </w:r>
    </w:p>
    <w:bookmarkEnd w:id="26"/>
    <w:p w14:paraId="3E83F1FC" w14:textId="77777777" w:rsidR="00537000" w:rsidRPr="00004022" w:rsidRDefault="00537000" w:rsidP="00537000">
      <w:pPr>
        <w:pStyle w:val="CommentText"/>
      </w:pPr>
      <w:r>
        <w:t>À</w:t>
      </w:r>
      <w:r w:rsidRPr="00004022">
        <w:t xml:space="preserve"> noter : certaines unités d’œuvre sont réservées à certains hôpitaux.</w:t>
      </w:r>
    </w:p>
    <w:tbl>
      <w:tblPr>
        <w:tblW w:w="9067" w:type="dxa"/>
        <w:tblInd w:w="284" w:type="dxa"/>
        <w:tblBorders>
          <w:insideV w:val="single" w:sz="4" w:space="0" w:color="auto"/>
        </w:tblBorders>
        <w:tblCellMar>
          <w:top w:w="57" w:type="dxa"/>
          <w:bottom w:w="57" w:type="dxa"/>
        </w:tblCellMar>
        <w:tblLook w:val="04A0" w:firstRow="1" w:lastRow="0" w:firstColumn="1" w:lastColumn="0" w:noHBand="0" w:noVBand="1"/>
      </w:tblPr>
      <w:tblGrid>
        <w:gridCol w:w="1701"/>
        <w:gridCol w:w="7366"/>
      </w:tblGrid>
      <w:tr w:rsidR="00537000" w:rsidRPr="00004022" w14:paraId="2F2FF4EB" w14:textId="77777777" w:rsidTr="00592E43">
        <w:trPr>
          <w:tblHeader/>
        </w:trPr>
        <w:tc>
          <w:tcPr>
            <w:tcW w:w="1701" w:type="dxa"/>
            <w:tcBorders>
              <w:top w:val="nil"/>
              <w:bottom w:val="single" w:sz="4" w:space="0" w:color="999999" w:themeColor="text1" w:themeTint="66"/>
              <w:right w:val="single" w:sz="4" w:space="0" w:color="999999" w:themeColor="text1" w:themeTint="66"/>
            </w:tcBorders>
            <w:shd w:val="clear" w:color="auto" w:fill="B7D4EF" w:themeFill="text2" w:themeFillTint="33"/>
          </w:tcPr>
          <w:bookmarkEnd w:id="22"/>
          <w:p w14:paraId="66E7297C" w14:textId="77777777" w:rsidR="00537000" w:rsidRPr="00F068CE" w:rsidRDefault="00537000" w:rsidP="00592E43">
            <w:pPr>
              <w:jc w:val="both"/>
              <w:rPr>
                <w:b/>
                <w:color w:val="196B24" w:themeColor="accent3"/>
                <w:lang w:val="fr-FR"/>
              </w:rPr>
            </w:pPr>
            <w:r w:rsidRPr="00F068CE">
              <w:rPr>
                <w:b/>
                <w:color w:val="196B24" w:themeColor="accent3"/>
                <w:lang w:val="fr-FR"/>
              </w:rPr>
              <w:t>Entités fonctionnelles</w:t>
            </w:r>
          </w:p>
        </w:tc>
        <w:tc>
          <w:tcPr>
            <w:tcW w:w="7366" w:type="dxa"/>
            <w:tcBorders>
              <w:top w:val="nil"/>
              <w:left w:val="single" w:sz="4" w:space="0" w:color="999999" w:themeColor="text1" w:themeTint="66"/>
              <w:bottom w:val="single" w:sz="4" w:space="0" w:color="999999" w:themeColor="text1" w:themeTint="66"/>
            </w:tcBorders>
            <w:shd w:val="clear" w:color="auto" w:fill="B7D4EF" w:themeFill="text2" w:themeFillTint="33"/>
          </w:tcPr>
          <w:p w14:paraId="4D2F6B30" w14:textId="77777777" w:rsidR="00537000" w:rsidRPr="00F068CE" w:rsidRDefault="00537000" w:rsidP="00592E43">
            <w:pPr>
              <w:jc w:val="both"/>
              <w:rPr>
                <w:b/>
                <w:color w:val="196B24" w:themeColor="accent3"/>
                <w:lang w:val="fr-FR"/>
              </w:rPr>
            </w:pPr>
            <w:r w:rsidRPr="00F068CE">
              <w:rPr>
                <w:b/>
                <w:color w:val="196B24" w:themeColor="accent3"/>
                <w:lang w:val="fr-FR"/>
              </w:rPr>
              <w:t>Unités d’œuvre</w:t>
            </w:r>
          </w:p>
        </w:tc>
      </w:tr>
      <w:tr w:rsidR="00537000" w:rsidRPr="00F92F9D" w14:paraId="28BF1987" w14:textId="77777777" w:rsidTr="00592E43">
        <w:tc>
          <w:tcPr>
            <w:tcW w:w="1701" w:type="dxa"/>
            <w:tcBorders>
              <w:top w:val="single"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5DD3A519"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 xml:space="preserve">Salles opératoires </w:t>
            </w:r>
          </w:p>
          <w:p w14:paraId="1B71A619"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w:t>
            </w:r>
            <w:proofErr w:type="gramStart"/>
            <w:r w:rsidRPr="00F068CE">
              <w:rPr>
                <w:rFonts w:eastAsia="Times New Roman" w:cs="Arial"/>
                <w:color w:val="196B24" w:themeColor="accent3"/>
                <w:sz w:val="18"/>
                <w:szCs w:val="18"/>
                <w:lang w:val="fr-FR"/>
              </w:rPr>
              <w:t>et</w:t>
            </w:r>
            <w:proofErr w:type="gramEnd"/>
            <w:r w:rsidRPr="00F068CE">
              <w:rPr>
                <w:rFonts w:eastAsia="Times New Roman" w:cs="Arial"/>
                <w:color w:val="196B24" w:themeColor="accent3"/>
                <w:sz w:val="18"/>
                <w:szCs w:val="18"/>
                <w:lang w:val="fr-FR"/>
              </w:rPr>
              <w:t xml:space="preserve"> salles de réveil)</w:t>
            </w:r>
          </w:p>
        </w:tc>
        <w:tc>
          <w:tcPr>
            <w:tcW w:w="7366" w:type="dxa"/>
            <w:tcBorders>
              <w:top w:val="single" w:sz="4" w:space="0" w:color="999999" w:themeColor="text1" w:themeTint="66"/>
              <w:left w:val="single" w:sz="4" w:space="0" w:color="999999" w:themeColor="text1" w:themeTint="66"/>
              <w:bottom w:val="dotted" w:sz="4" w:space="0" w:color="999999" w:themeColor="text1" w:themeTint="66"/>
            </w:tcBorders>
          </w:tcPr>
          <w:p w14:paraId="71FDC3C7" w14:textId="77777777" w:rsidR="00537000" w:rsidRPr="00004022" w:rsidRDefault="00537000" w:rsidP="00592E43">
            <w:pPr>
              <w:jc w:val="both"/>
              <w:rPr>
                <w:sz w:val="18"/>
                <w:szCs w:val="18"/>
                <w:lang w:val="fr-FR"/>
              </w:rPr>
            </w:pPr>
            <w:r w:rsidRPr="00004022">
              <w:rPr>
                <w:sz w:val="18"/>
                <w:szCs w:val="18"/>
                <w:lang w:val="fr-FR"/>
              </w:rPr>
              <w:t>Passage dans une salle opératoire ou salle de réveil.</w:t>
            </w:r>
          </w:p>
          <w:p w14:paraId="2F4C9A10" w14:textId="77777777" w:rsidR="00537000" w:rsidRPr="00004022" w:rsidRDefault="00537000" w:rsidP="00592E43">
            <w:pPr>
              <w:jc w:val="both"/>
              <w:rPr>
                <w:sz w:val="18"/>
                <w:szCs w:val="18"/>
                <w:lang w:val="fr-FR"/>
              </w:rPr>
            </w:pPr>
            <w:r w:rsidRPr="00004022">
              <w:rPr>
                <w:sz w:val="18"/>
                <w:szCs w:val="18"/>
                <w:lang w:val="fr-FR"/>
              </w:rPr>
              <w:t>Correspond à une entrée d’un patient en salle opératoire donnant lieu à la cotation d’un ou plusieurs codes d’intervention chirurgicale présents dans la nomenclature des actes et services des médecins et médecins-dentistes.</w:t>
            </w:r>
          </w:p>
        </w:tc>
      </w:tr>
      <w:tr w:rsidR="00537000" w:rsidRPr="00F92F9D" w14:paraId="1B5BCA93"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46430EFC"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Salles d’accouchement</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5A2A334"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 dans une salle d’accouchement.</w:t>
            </w:r>
          </w:p>
        </w:tc>
      </w:tr>
      <w:tr w:rsidR="00537000" w:rsidRPr="00F92F9D" w14:paraId="3763DB8D"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2B772439"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Laboratoires</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4B568BD"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Prélèvement de même nature remis au laboratoire (sang, urines, …). Les prélèvements sont réalisés pour des patients ambulatoires et hospitalisés.</w:t>
            </w:r>
          </w:p>
          <w:p w14:paraId="0E7FDFD3"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Les chiffres mis à disposition pour la Carte sanitaire ne détaillent pas la distribution entre ces deux groupes qui varient probablement entre les hôpitaux selon l’implantation de laboratoires privés dans la zone géographique de recrutement, la facilité d’accès, ou l’éventuelle recommandation des prescripteurs.</w:t>
            </w:r>
          </w:p>
          <w:p w14:paraId="5ABA47DD" w14:textId="77777777" w:rsidR="00537000" w:rsidRPr="00D45DA5" w:rsidRDefault="00537000" w:rsidP="00592E43">
            <w:pPr>
              <w:jc w:val="both"/>
              <w:rPr>
                <w:rFonts w:eastAsia="Times New Roman" w:cs="Arial"/>
                <w:sz w:val="18"/>
                <w:szCs w:val="18"/>
                <w:lang w:val="fr-FR"/>
              </w:rPr>
            </w:pPr>
            <w:r w:rsidRPr="00004022">
              <w:rPr>
                <w:rFonts w:eastAsia="Times New Roman" w:cs="Arial"/>
                <w:sz w:val="18"/>
                <w:szCs w:val="18"/>
                <w:lang w:val="fr-FR"/>
              </w:rPr>
              <w:t>NB : une UO de laboratoire peut seulement être facturée si l’hôpital a déclaré une prise en charge ou s’il y a un passage policlinique pour le même jour.</w:t>
            </w:r>
          </w:p>
        </w:tc>
      </w:tr>
      <w:tr w:rsidR="00537000" w:rsidRPr="00112DCF" w14:paraId="3F27C8B9"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0CEA8A24"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 xml:space="preserve">Imagerie médicale </w:t>
            </w:r>
          </w:p>
          <w:p w14:paraId="1CC2395C"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w:t>
            </w:r>
            <w:proofErr w:type="gramStart"/>
            <w:r w:rsidRPr="00F068CE">
              <w:rPr>
                <w:rFonts w:eastAsia="Times New Roman" w:cs="Arial"/>
                <w:color w:val="196B24" w:themeColor="accent3"/>
                <w:sz w:val="18"/>
                <w:szCs w:val="18"/>
                <w:lang w:val="fr-FR"/>
              </w:rPr>
              <w:t>sauf</w:t>
            </w:r>
            <w:proofErr w:type="gramEnd"/>
            <w:r w:rsidRPr="00F068CE">
              <w:rPr>
                <w:rFonts w:eastAsia="Times New Roman" w:cs="Arial"/>
                <w:color w:val="196B24" w:themeColor="accent3"/>
                <w:sz w:val="18"/>
                <w:szCs w:val="18"/>
                <w:lang w:val="fr-FR"/>
              </w:rPr>
              <w:t xml:space="preserve"> IRM)</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621F2D53"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 dans le service d’imagerie médicale.</w:t>
            </w:r>
          </w:p>
          <w:p w14:paraId="611ABE1D"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Une UO correspond à un ou plusieurs examen(s) de la même catégorie réalisé(s) dans une même salle de radiologie au même moment, pour des patients ambulatoires ou stationnaires.</w:t>
            </w:r>
          </w:p>
          <w:p w14:paraId="59FC4D21" w14:textId="77777777" w:rsidR="00537000" w:rsidRPr="00004022" w:rsidRDefault="00537000" w:rsidP="00592E43">
            <w:pPr>
              <w:jc w:val="both"/>
              <w:rPr>
                <w:rFonts w:eastAsia="Times New Roman" w:cs="Arial"/>
                <w:i/>
                <w:sz w:val="18"/>
                <w:szCs w:val="18"/>
                <w:lang w:val="fr-FR"/>
              </w:rPr>
            </w:pPr>
            <w:r w:rsidRPr="00004022">
              <w:rPr>
                <w:rFonts w:eastAsia="Times New Roman" w:cs="Arial"/>
                <w:i/>
                <w:sz w:val="18"/>
                <w:szCs w:val="18"/>
                <w:lang w:val="fr-FR"/>
              </w:rPr>
              <w:t>(</w:t>
            </w:r>
            <w:proofErr w:type="gramStart"/>
            <w:r w:rsidRPr="00004022">
              <w:rPr>
                <w:rFonts w:eastAsia="Times New Roman" w:cs="Arial"/>
                <w:i/>
                <w:sz w:val="18"/>
                <w:szCs w:val="18"/>
                <w:lang w:val="fr-FR"/>
              </w:rPr>
              <w:t>ex</w:t>
            </w:r>
            <w:proofErr w:type="gramEnd"/>
            <w:r w:rsidRPr="00004022">
              <w:rPr>
                <w:rFonts w:eastAsia="Times New Roman" w:cs="Arial"/>
                <w:i/>
                <w:sz w:val="18"/>
                <w:szCs w:val="18"/>
                <w:lang w:val="fr-FR"/>
              </w:rPr>
              <w:t> : 1 examen radiologique du thorax + 1 examen radiologique du poignet réalisés dans la même salle à la même heure pour un même patient = 1 UO)</w:t>
            </w:r>
          </w:p>
        </w:tc>
      </w:tr>
      <w:tr w:rsidR="00537000" w:rsidRPr="00F92F9D" w14:paraId="79F5FE5B"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744C43F6" w14:textId="77777777" w:rsidR="00537000" w:rsidRPr="00F068CE" w:rsidRDefault="00537000" w:rsidP="00592E43">
            <w:pPr>
              <w:jc w:val="both"/>
              <w:rPr>
                <w:color w:val="196B24" w:themeColor="accent3"/>
                <w:sz w:val="18"/>
                <w:szCs w:val="18"/>
                <w:lang w:val="fr-FR"/>
              </w:rPr>
            </w:pPr>
            <w:r w:rsidRPr="00F068CE">
              <w:rPr>
                <w:color w:val="196B24" w:themeColor="accent3"/>
                <w:sz w:val="18"/>
                <w:szCs w:val="18"/>
                <w:lang w:val="fr-FR"/>
              </w:rPr>
              <w:t>IRM</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2CD81DA5"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 pour la réalisation d’un examen IRM</w:t>
            </w:r>
          </w:p>
        </w:tc>
      </w:tr>
      <w:tr w:rsidR="00537000" w:rsidRPr="00004022" w14:paraId="5C48D942"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6D2BEAD5"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Radiothérapie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48DCDE4C"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004022" w14:paraId="35C9BA59"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71C39609"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 xml:space="preserve">Lithotritie </w:t>
            </w:r>
          </w:p>
          <w:p w14:paraId="775FC809" w14:textId="77777777" w:rsidR="00537000" w:rsidRPr="00F068CE" w:rsidRDefault="00537000" w:rsidP="00592E43">
            <w:pPr>
              <w:jc w:val="both"/>
              <w:rPr>
                <w:color w:val="196B24" w:themeColor="accent3"/>
                <w:sz w:val="18"/>
                <w:szCs w:val="18"/>
                <w:lang w:val="fr-FR"/>
              </w:rPr>
            </w:pPr>
            <w:proofErr w:type="gramStart"/>
            <w:r w:rsidRPr="00F068CE">
              <w:rPr>
                <w:rFonts w:eastAsia="Times New Roman" w:cs="Arial"/>
                <w:color w:val="196B24" w:themeColor="accent3"/>
                <w:sz w:val="18"/>
                <w:szCs w:val="18"/>
                <w:lang w:val="fr-FR"/>
              </w:rPr>
              <w:t>extra</w:t>
            </w:r>
            <w:proofErr w:type="gramEnd"/>
            <w:r w:rsidRPr="00F068CE">
              <w:rPr>
                <w:rFonts w:eastAsia="Times New Roman" w:cs="Arial"/>
                <w:color w:val="196B24" w:themeColor="accent3"/>
                <w:sz w:val="18"/>
                <w:szCs w:val="18"/>
                <w:lang w:val="fr-FR"/>
              </w:rPr>
              <w:t>-corporelle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3089E959" w14:textId="77777777" w:rsidR="00537000" w:rsidRPr="00004022" w:rsidRDefault="00537000" w:rsidP="00592E43">
            <w:pPr>
              <w:jc w:val="both"/>
              <w:rPr>
                <w:sz w:val="18"/>
                <w:szCs w:val="18"/>
                <w:lang w:val="fr-FR"/>
              </w:rPr>
            </w:pPr>
            <w:r w:rsidRPr="00004022">
              <w:rPr>
                <w:rFonts w:eastAsia="Times New Roman" w:cs="Arial"/>
                <w:sz w:val="18"/>
                <w:szCs w:val="18"/>
                <w:lang w:val="fr-FR"/>
              </w:rPr>
              <w:t>Séance</w:t>
            </w:r>
          </w:p>
        </w:tc>
      </w:tr>
      <w:tr w:rsidR="00537000" w:rsidRPr="00004022" w14:paraId="38349CDF"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16FEB8F5"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Caisson d’oxygénothérapie hyperbare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450A5390" w14:textId="77777777" w:rsidR="00537000" w:rsidRPr="00004022" w:rsidRDefault="00537000" w:rsidP="00592E43">
            <w:pPr>
              <w:jc w:val="both"/>
              <w:rPr>
                <w:sz w:val="18"/>
                <w:szCs w:val="18"/>
                <w:lang w:val="fr-FR"/>
              </w:rPr>
            </w:pPr>
            <w:r w:rsidRPr="00004022">
              <w:rPr>
                <w:rFonts w:eastAsia="Times New Roman" w:cs="Arial"/>
                <w:sz w:val="18"/>
                <w:szCs w:val="18"/>
                <w:lang w:val="fr-FR"/>
              </w:rPr>
              <w:t>Séance</w:t>
            </w:r>
          </w:p>
        </w:tc>
      </w:tr>
      <w:tr w:rsidR="00537000" w:rsidRPr="00F92F9D" w14:paraId="78C198F6"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5572DD85"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Hémodialyse</w:t>
            </w:r>
          </w:p>
          <w:p w14:paraId="32A90E3C" w14:textId="77777777" w:rsidR="00537000" w:rsidRPr="00F068CE" w:rsidRDefault="00537000" w:rsidP="00592E43">
            <w:pPr>
              <w:jc w:val="both"/>
              <w:rPr>
                <w:color w:val="196B24" w:themeColor="accent3"/>
                <w:sz w:val="18"/>
                <w:szCs w:val="18"/>
                <w:lang w:val="fr-FR"/>
              </w:rPr>
            </w:pPr>
            <w:r w:rsidRPr="00F068CE">
              <w:rPr>
                <w:color w:val="196B24" w:themeColor="accent3"/>
                <w:sz w:val="18"/>
                <w:szCs w:val="18"/>
                <w:lang w:val="fr-FR"/>
              </w:rPr>
              <w:t>(</w:t>
            </w:r>
            <w:proofErr w:type="gramStart"/>
            <w:r w:rsidRPr="00F068CE">
              <w:rPr>
                <w:color w:val="196B24" w:themeColor="accent3"/>
                <w:sz w:val="18"/>
                <w:szCs w:val="18"/>
                <w:lang w:val="fr-FR"/>
              </w:rPr>
              <w:t>y</w:t>
            </w:r>
            <w:proofErr w:type="gramEnd"/>
            <w:r w:rsidRPr="00F068CE">
              <w:rPr>
                <w:color w:val="196B24" w:themeColor="accent3"/>
                <w:sz w:val="18"/>
                <w:szCs w:val="18"/>
                <w:lang w:val="fr-FR"/>
              </w:rPr>
              <w:t xml:space="preserve"> compris </w:t>
            </w:r>
            <w:r w:rsidRPr="00F068CE">
              <w:rPr>
                <w:color w:val="196B24" w:themeColor="accent3"/>
                <w:lang w:val="fr-FR"/>
              </w:rPr>
              <w:t xml:space="preserve"> </w:t>
            </w:r>
            <w:r w:rsidRPr="00F068CE">
              <w:rPr>
                <w:color w:val="196B24" w:themeColor="accent3"/>
                <w:sz w:val="18"/>
                <w:szCs w:val="18"/>
                <w:lang w:val="fr-FR"/>
              </w:rPr>
              <w:t>dialyse péritonéale)</w:t>
            </w:r>
            <w:r w:rsidRPr="00F068CE">
              <w:rPr>
                <w:color w:val="196B24" w:themeColor="accent3"/>
                <w:lang w:val="fr-FR"/>
              </w:rPr>
              <w:t> </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A93E240"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p w14:paraId="365B6B8C"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 xml:space="preserve">Une UO d’hémodialyse correspond à une séance d’hémodialyse quelle que soit sa durée, qu’elle soit réalisée en ambulatoire ou en hospitalisation, qu’elle soit réalisée dans le service de dialyse ou dans le service de soins intensifs, que ce soit une hémodialyse classique, une hémodialyse </w:t>
            </w:r>
            <w:proofErr w:type="spellStart"/>
            <w:r w:rsidRPr="004E0B65">
              <w:rPr>
                <w:rFonts w:eastAsia="Times New Roman" w:cs="Arial"/>
                <w:i/>
                <w:iCs/>
                <w:sz w:val="18"/>
                <w:szCs w:val="18"/>
                <w:lang w:val="fr-FR"/>
              </w:rPr>
              <w:t>limited</w:t>
            </w:r>
            <w:proofErr w:type="spellEnd"/>
            <w:r w:rsidRPr="00004022">
              <w:rPr>
                <w:rFonts w:eastAsia="Times New Roman" w:cs="Arial"/>
                <w:sz w:val="18"/>
                <w:szCs w:val="18"/>
                <w:lang w:val="fr-FR"/>
              </w:rPr>
              <w:t>-care, une dialyse à domicile sous contrôle de l’équipe soignante ou une dialyse péritonéale.</w:t>
            </w:r>
          </w:p>
          <w:p w14:paraId="6C399979"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 xml:space="preserve">L’hémodialyse </w:t>
            </w:r>
            <w:proofErr w:type="spellStart"/>
            <w:r w:rsidRPr="0056710B">
              <w:rPr>
                <w:rFonts w:eastAsia="Times New Roman" w:cs="Arial"/>
                <w:i/>
                <w:iCs/>
                <w:sz w:val="18"/>
                <w:szCs w:val="18"/>
                <w:lang w:val="fr-FR"/>
              </w:rPr>
              <w:t>limited</w:t>
            </w:r>
            <w:proofErr w:type="spellEnd"/>
            <w:r w:rsidRPr="0056710B">
              <w:rPr>
                <w:rFonts w:eastAsia="Times New Roman" w:cs="Arial"/>
                <w:i/>
                <w:iCs/>
                <w:sz w:val="18"/>
                <w:szCs w:val="18"/>
                <w:lang w:val="fr-FR"/>
              </w:rPr>
              <w:t>-care</w:t>
            </w:r>
            <w:r w:rsidRPr="00004022">
              <w:rPr>
                <w:rFonts w:eastAsia="Times New Roman" w:cs="Arial"/>
                <w:sz w:val="18"/>
                <w:szCs w:val="18"/>
                <w:lang w:val="fr-FR"/>
              </w:rPr>
              <w:t xml:space="preserve"> est une offre limitée au service de dialyse conventionnelle permettant une certaine participation du patient après avoir reçu une éducation pour prendre en charge une partie de ses soins.</w:t>
            </w:r>
          </w:p>
        </w:tc>
      </w:tr>
      <w:tr w:rsidR="00537000" w:rsidRPr="00004022" w14:paraId="3AB9758F"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361605B0"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Kinésithérapie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05E4EF35"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F92F9D" w14:paraId="17818CFE"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77DFB65A" w14:textId="77777777" w:rsidR="00537000" w:rsidRPr="00F068CE" w:rsidRDefault="00537000" w:rsidP="00592E43">
            <w:pPr>
              <w:rPr>
                <w:color w:val="196B24" w:themeColor="accent3"/>
                <w:sz w:val="18"/>
                <w:szCs w:val="18"/>
                <w:lang w:val="fr-FR"/>
              </w:rPr>
            </w:pPr>
            <w:r w:rsidRPr="00F068CE">
              <w:rPr>
                <w:rFonts w:eastAsia="Times New Roman" w:cs="Arial"/>
                <w:color w:val="196B24" w:themeColor="accent3"/>
                <w:sz w:val="18"/>
                <w:szCs w:val="18"/>
                <w:lang w:val="fr-FR"/>
              </w:rPr>
              <w:t>Policlinique(s) et/ou autres unités médico-techniques</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5C639EDE"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 xml:space="preserve">Passage </w:t>
            </w:r>
          </w:p>
          <w:p w14:paraId="74D2945F" w14:textId="77777777" w:rsidR="00537000" w:rsidRPr="000E54FE" w:rsidRDefault="00537000" w:rsidP="00592E43">
            <w:pPr>
              <w:jc w:val="both"/>
              <w:rPr>
                <w:rFonts w:eastAsia="Times New Roman" w:cs="Arial"/>
                <w:sz w:val="18"/>
                <w:szCs w:val="18"/>
                <w:lang w:val="fr-FR"/>
              </w:rPr>
            </w:pPr>
            <w:r w:rsidRPr="000E54FE">
              <w:rPr>
                <w:rFonts w:eastAsia="Times New Roman" w:cs="Arial"/>
                <w:sz w:val="18"/>
                <w:szCs w:val="18"/>
                <w:lang w:val="fr-FR"/>
              </w:rPr>
              <w:t>Une UO de policlinique correspond à un passage dans une policlinique générale ou spécialisée (ex : policlinique cardiologique, ORL, ophtalmologique) pour une consultation, un examen diagnostique ou un traitement, pour un patient ambulatoire ou stationnaire.</w:t>
            </w:r>
          </w:p>
          <w:p w14:paraId="4D92E5AA" w14:textId="77777777" w:rsidR="00537000" w:rsidRPr="00004022" w:rsidRDefault="00537000" w:rsidP="00592E43">
            <w:pPr>
              <w:jc w:val="both"/>
              <w:rPr>
                <w:rFonts w:eastAsia="Times New Roman" w:cs="Arial"/>
                <w:sz w:val="18"/>
                <w:szCs w:val="18"/>
                <w:lang w:val="fr-FR"/>
              </w:rPr>
            </w:pPr>
            <w:r w:rsidRPr="000E54FE">
              <w:rPr>
                <w:rFonts w:eastAsia="Times New Roman" w:cs="Arial"/>
                <w:sz w:val="18"/>
                <w:szCs w:val="18"/>
                <w:lang w:val="fr-FR"/>
              </w:rPr>
              <w:t>Jusqu'en 2018, l'entité fonctionnelle "urgence" n'était pas différentiée de l’entité fonctionnelle "policlinique" ; les unités d'</w:t>
            </w:r>
            <w:proofErr w:type="spellStart"/>
            <w:r w:rsidRPr="000E54FE">
              <w:rPr>
                <w:rFonts w:eastAsia="Times New Roman" w:cs="Arial"/>
                <w:sz w:val="18"/>
                <w:szCs w:val="18"/>
                <w:lang w:val="fr-FR"/>
              </w:rPr>
              <w:t>oeuvre</w:t>
            </w:r>
            <w:proofErr w:type="spellEnd"/>
            <w:r w:rsidRPr="000E54FE">
              <w:rPr>
                <w:rFonts w:eastAsia="Times New Roman" w:cs="Arial"/>
                <w:sz w:val="18"/>
                <w:szCs w:val="18"/>
                <w:lang w:val="fr-FR"/>
              </w:rPr>
              <w:t xml:space="preserve"> "policlinique" comprenaient donc également les passages "urgence" (voir ci-dessous)</w:t>
            </w:r>
            <w:r w:rsidRPr="00004022">
              <w:rPr>
                <w:rFonts w:eastAsia="Times New Roman" w:cs="Arial"/>
                <w:sz w:val="18"/>
                <w:szCs w:val="18"/>
                <w:lang w:val="fr-FR"/>
              </w:rPr>
              <w:t>.</w:t>
            </w:r>
          </w:p>
        </w:tc>
      </w:tr>
      <w:tr w:rsidR="00537000" w:rsidRPr="00F92F9D" w14:paraId="635F582B"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600AA4C5" w14:textId="77777777" w:rsidR="00537000" w:rsidRPr="00F068CE" w:rsidRDefault="00537000" w:rsidP="00592E43">
            <w:pPr>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Urgence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35FF1C3" w14:textId="77777777" w:rsidR="00537000" w:rsidRDefault="00537000" w:rsidP="00592E43">
            <w:pPr>
              <w:jc w:val="both"/>
              <w:rPr>
                <w:rFonts w:eastAsia="Times New Roman" w:cs="Arial"/>
                <w:sz w:val="18"/>
                <w:szCs w:val="18"/>
                <w:lang w:val="fr-FR"/>
              </w:rPr>
            </w:pPr>
            <w:r>
              <w:rPr>
                <w:rFonts w:eastAsia="Times New Roman" w:cs="Arial"/>
                <w:sz w:val="18"/>
                <w:szCs w:val="18"/>
                <w:lang w:val="fr-FR"/>
              </w:rPr>
              <w:t>Passage</w:t>
            </w:r>
          </w:p>
          <w:p w14:paraId="62CA714C" w14:textId="77777777" w:rsidR="00537000" w:rsidRPr="000E54FE" w:rsidRDefault="00537000" w:rsidP="00592E43">
            <w:pPr>
              <w:jc w:val="both"/>
              <w:rPr>
                <w:rFonts w:eastAsia="Times New Roman" w:cs="Arial"/>
                <w:sz w:val="18"/>
                <w:szCs w:val="18"/>
                <w:lang w:val="fr-FR"/>
              </w:rPr>
            </w:pPr>
            <w:r w:rsidRPr="000E54FE">
              <w:rPr>
                <w:rFonts w:eastAsia="Times New Roman" w:cs="Arial"/>
                <w:sz w:val="18"/>
                <w:szCs w:val="18"/>
                <w:lang w:val="fr-FR"/>
              </w:rPr>
              <w:t xml:space="preserve">Une UO d'urgence correspond à un passage au service d'urgence, depuis 2019. </w:t>
            </w:r>
          </w:p>
          <w:p w14:paraId="0B6957F0" w14:textId="77777777" w:rsidR="00537000" w:rsidRPr="00004022" w:rsidRDefault="00537000" w:rsidP="00592E43">
            <w:pPr>
              <w:jc w:val="both"/>
              <w:rPr>
                <w:rFonts w:eastAsia="Times New Roman" w:cs="Arial"/>
                <w:sz w:val="18"/>
                <w:szCs w:val="18"/>
                <w:lang w:val="fr-FR"/>
              </w:rPr>
            </w:pPr>
            <w:r w:rsidRPr="000E54FE">
              <w:rPr>
                <w:rFonts w:eastAsia="Times New Roman" w:cs="Arial"/>
                <w:sz w:val="18"/>
                <w:szCs w:val="18"/>
                <w:lang w:val="fr-FR"/>
              </w:rPr>
              <w:t>Les unités d’œuvre incluent également les patients amenés au service d'urgence par les SAMU, antennes mobiles du service d’urgence, voitures d’intervention médicalisées ou moyens héliportés attachés aux hôpitaux les jours où ils assurent la garde et dont les sorties sont déclenchées par le 112.</w:t>
            </w:r>
          </w:p>
        </w:tc>
      </w:tr>
      <w:tr w:rsidR="00537000" w:rsidRPr="00004022" w14:paraId="4735CA01"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5BC65C7C"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Chimiothérapie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63D6EC58"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F92F9D" w14:paraId="33125C13"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759360A0"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Chirurgie cardiaque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31EED948"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 dans une salle opératoire</w:t>
            </w:r>
          </w:p>
        </w:tc>
      </w:tr>
      <w:tr w:rsidR="00537000" w:rsidRPr="00004022" w14:paraId="792CE24F"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6263123A"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Cardiologie interventionnelle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0DBF264C" w14:textId="77777777" w:rsidR="00537000" w:rsidRPr="00004022" w:rsidRDefault="00537000" w:rsidP="00592E43">
            <w:pPr>
              <w:jc w:val="both"/>
              <w:rPr>
                <w:sz w:val="18"/>
                <w:szCs w:val="18"/>
                <w:lang w:val="fr-FR"/>
              </w:rPr>
            </w:pPr>
            <w:r w:rsidRPr="00004022">
              <w:rPr>
                <w:rFonts w:eastAsia="Times New Roman" w:cs="Arial"/>
                <w:sz w:val="18"/>
                <w:szCs w:val="18"/>
                <w:lang w:val="fr-FR"/>
              </w:rPr>
              <w:t>Passage</w:t>
            </w:r>
          </w:p>
        </w:tc>
      </w:tr>
      <w:tr w:rsidR="00537000" w:rsidRPr="00004022" w14:paraId="26242D66"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49F2F373"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Médecine nucléaire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08725B45"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w:t>
            </w:r>
          </w:p>
        </w:tc>
      </w:tr>
      <w:tr w:rsidR="00537000" w:rsidRPr="00004022" w14:paraId="4466590C"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54EE78E5"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Ergothérapie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5BA0D709"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004022" w14:paraId="2BCC5FC1"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257306F7"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Hydrothérapie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48DEF0E5"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004022" w14:paraId="0FA8FF89"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5A822B6E"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PET-Scan</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4EC8FD44"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Passage</w:t>
            </w:r>
          </w:p>
        </w:tc>
      </w:tr>
      <w:tr w:rsidR="00537000" w:rsidRPr="00004022" w14:paraId="7201B5C1"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615FD879" w14:textId="77777777" w:rsidR="00537000" w:rsidRPr="00F068CE" w:rsidRDefault="00537000" w:rsidP="00592E43">
            <w:pPr>
              <w:rPr>
                <w:color w:val="196B24" w:themeColor="accent3"/>
                <w:sz w:val="18"/>
                <w:szCs w:val="18"/>
                <w:lang w:val="fr-FR"/>
              </w:rPr>
            </w:pPr>
            <w:r w:rsidRPr="00F068CE">
              <w:rPr>
                <w:rFonts w:eastAsia="Times New Roman" w:cs="Arial"/>
                <w:color w:val="196B24" w:themeColor="accent3"/>
                <w:sz w:val="18"/>
                <w:szCs w:val="18"/>
                <w:lang w:val="fr-FR"/>
              </w:rPr>
              <w:t>Fécondation in vitro</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35009285"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Essai biologique</w:t>
            </w:r>
          </w:p>
        </w:tc>
      </w:tr>
      <w:tr w:rsidR="00537000" w:rsidRPr="00004022" w14:paraId="3165B968"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46A6AB38"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Gymnase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030351CC"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F92F9D" w14:paraId="29E3E348"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26868A66"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Appartements thérapeutiques</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2783DB4" w14:textId="77777777" w:rsidR="00537000" w:rsidRPr="00004022" w:rsidRDefault="00537000" w:rsidP="00592E43">
            <w:pPr>
              <w:jc w:val="both"/>
              <w:rPr>
                <w:sz w:val="18"/>
                <w:szCs w:val="18"/>
                <w:lang w:val="fr-FR"/>
              </w:rPr>
            </w:pPr>
            <w:r w:rsidRPr="00004022">
              <w:rPr>
                <w:rFonts w:eastAsia="Times New Roman" w:cs="Arial"/>
                <w:sz w:val="18"/>
                <w:szCs w:val="18"/>
                <w:lang w:val="fr-FR"/>
              </w:rPr>
              <w:t>Présence à minuit ou entrée/sortie le même jour</w:t>
            </w:r>
          </w:p>
        </w:tc>
      </w:tr>
      <w:tr w:rsidR="00537000" w:rsidRPr="00004022" w14:paraId="230BED3C" w14:textId="77777777" w:rsidTr="00592E43">
        <w:trPr>
          <w:trHeight w:val="279"/>
        </w:trPr>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2693002C"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Curiethérapie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707A689B"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Séance</w:t>
            </w:r>
          </w:p>
        </w:tc>
      </w:tr>
      <w:tr w:rsidR="00537000" w:rsidRPr="00F92F9D" w14:paraId="62F61076"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1B98D211" w14:textId="77777777" w:rsidR="00537000" w:rsidRPr="00F068CE" w:rsidRDefault="00537000" w:rsidP="00592E43">
            <w:pPr>
              <w:jc w:val="both"/>
              <w:rPr>
                <w:color w:val="196B24" w:themeColor="accent3"/>
                <w:sz w:val="18"/>
                <w:szCs w:val="18"/>
                <w:lang w:val="fr-FR"/>
              </w:rPr>
            </w:pPr>
            <w:r w:rsidRPr="00F068CE">
              <w:rPr>
                <w:rFonts w:eastAsia="Times New Roman" w:cs="Arial"/>
                <w:color w:val="196B24" w:themeColor="accent3"/>
                <w:sz w:val="18"/>
                <w:szCs w:val="18"/>
                <w:lang w:val="fr-FR"/>
              </w:rPr>
              <w:t>Endoscopique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50BFA3A7" w14:textId="77777777" w:rsidR="00537000" w:rsidRPr="00004022" w:rsidRDefault="00537000" w:rsidP="00592E43">
            <w:pPr>
              <w:jc w:val="both"/>
              <w:rPr>
                <w:sz w:val="18"/>
                <w:szCs w:val="18"/>
                <w:lang w:val="fr-FR"/>
              </w:rPr>
            </w:pPr>
            <w:r w:rsidRPr="00004022">
              <w:rPr>
                <w:rFonts w:eastAsia="Times New Roman" w:cs="Arial"/>
                <w:sz w:val="18"/>
                <w:szCs w:val="18"/>
                <w:lang w:val="fr-FR"/>
              </w:rPr>
              <w:t>Passage endoscopique avec au moins un acte appartenant à la liste positive définie par le document budgétaire (CNS-FHL).</w:t>
            </w:r>
          </w:p>
        </w:tc>
      </w:tr>
      <w:tr w:rsidR="00537000" w:rsidRPr="00004022" w14:paraId="4979CE14"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14E2740F"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Génétique humaine</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4E8B1A39"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Test</w:t>
            </w:r>
          </w:p>
        </w:tc>
      </w:tr>
      <w:tr w:rsidR="00537000" w:rsidRPr="00004022" w14:paraId="65E0656B" w14:textId="77777777" w:rsidTr="00592E43">
        <w:tc>
          <w:tcPr>
            <w:tcW w:w="1701" w:type="dxa"/>
            <w:tcBorders>
              <w:top w:val="dotted" w:sz="4" w:space="0" w:color="999999" w:themeColor="text1" w:themeTint="66"/>
              <w:bottom w:val="dotted" w:sz="4" w:space="0" w:color="999999" w:themeColor="text1" w:themeTint="66"/>
              <w:right w:val="single" w:sz="4" w:space="0" w:color="999999" w:themeColor="text1" w:themeTint="66"/>
            </w:tcBorders>
            <w:shd w:val="clear" w:color="auto" w:fill="B7D4EF" w:themeFill="text2" w:themeFillTint="33"/>
          </w:tcPr>
          <w:p w14:paraId="60E3B925" w14:textId="77777777" w:rsidR="00537000" w:rsidRPr="00F068CE" w:rsidRDefault="00537000" w:rsidP="00592E43">
            <w:pPr>
              <w:jc w:val="both"/>
              <w:rPr>
                <w:rFonts w:eastAsia="Times New Roman" w:cs="Arial"/>
                <w:color w:val="196B24" w:themeColor="accent3"/>
                <w:sz w:val="18"/>
                <w:szCs w:val="18"/>
                <w:lang w:val="fr-FR"/>
              </w:rPr>
            </w:pPr>
            <w:r w:rsidRPr="00F068CE">
              <w:rPr>
                <w:rFonts w:eastAsia="Times New Roman" w:cs="Arial"/>
                <w:color w:val="196B24" w:themeColor="accent3"/>
                <w:sz w:val="18"/>
                <w:szCs w:val="18"/>
                <w:lang w:val="fr-FR"/>
              </w:rPr>
              <w:t xml:space="preserve">Anatomie pathologique </w:t>
            </w:r>
          </w:p>
        </w:tc>
        <w:tc>
          <w:tcPr>
            <w:tcW w:w="7366" w:type="dxa"/>
            <w:tcBorders>
              <w:top w:val="dotted" w:sz="4" w:space="0" w:color="999999" w:themeColor="text1" w:themeTint="66"/>
              <w:left w:val="single" w:sz="4" w:space="0" w:color="999999" w:themeColor="text1" w:themeTint="66"/>
              <w:bottom w:val="dotted" w:sz="4" w:space="0" w:color="999999" w:themeColor="text1" w:themeTint="66"/>
            </w:tcBorders>
          </w:tcPr>
          <w:p w14:paraId="1B429F27" w14:textId="77777777" w:rsidR="00537000" w:rsidRPr="00004022" w:rsidRDefault="00537000" w:rsidP="00592E43">
            <w:pPr>
              <w:jc w:val="both"/>
              <w:rPr>
                <w:rFonts w:eastAsia="Times New Roman" w:cs="Arial"/>
                <w:sz w:val="18"/>
                <w:szCs w:val="18"/>
                <w:lang w:val="fr-FR"/>
              </w:rPr>
            </w:pPr>
            <w:r w:rsidRPr="00004022">
              <w:rPr>
                <w:rFonts w:eastAsia="Times New Roman" w:cs="Arial"/>
                <w:sz w:val="18"/>
                <w:szCs w:val="18"/>
                <w:lang w:val="fr-FR"/>
              </w:rPr>
              <w:t>Lame</w:t>
            </w:r>
          </w:p>
        </w:tc>
      </w:tr>
    </w:tbl>
    <w:p w14:paraId="6C9FBA4C" w14:textId="77777777" w:rsidR="00537000" w:rsidRPr="00004022" w:rsidRDefault="00537000" w:rsidP="00537000">
      <w:pPr>
        <w:spacing w:before="240"/>
        <w:jc w:val="both"/>
        <w:rPr>
          <w:b/>
          <w:lang w:val="fr-FR"/>
        </w:rPr>
      </w:pPr>
      <w:r w:rsidRPr="00004022">
        <w:rPr>
          <w:b/>
          <w:u w:val="single"/>
          <w:lang w:val="fr-FR"/>
        </w:rPr>
        <w:t>Limites</w:t>
      </w:r>
      <w:r w:rsidRPr="00004022">
        <w:rPr>
          <w:b/>
          <w:lang w:val="fr-FR"/>
        </w:rPr>
        <w:t> :</w:t>
      </w:r>
    </w:p>
    <w:p w14:paraId="46BADC30" w14:textId="77777777" w:rsidR="00537000" w:rsidRPr="00AF4A82" w:rsidRDefault="00537000" w:rsidP="00537000">
      <w:pPr>
        <w:spacing w:before="240"/>
        <w:jc w:val="both"/>
        <w:rPr>
          <w:lang w:val="fr-FR"/>
        </w:rPr>
      </w:pPr>
      <w:r w:rsidRPr="00AF4A82">
        <w:rPr>
          <w:lang w:val="fr-FR"/>
        </w:rPr>
        <w:t>Ces données sont présentées de manière agrégée pour les patients hospitalisés et les patients ambulatoires.</w:t>
      </w:r>
    </w:p>
    <w:bookmarkEnd w:id="23"/>
    <w:p w14:paraId="099DEA8B" w14:textId="77777777" w:rsidR="00537000" w:rsidRPr="00004022" w:rsidRDefault="00537000" w:rsidP="00537000">
      <w:pPr>
        <w:spacing w:before="240"/>
        <w:jc w:val="both"/>
        <w:rPr>
          <w:b/>
          <w:sz w:val="24"/>
          <w:u w:val="single"/>
          <w:lang w:val="fr-FR"/>
        </w:rPr>
      </w:pPr>
      <w:r w:rsidRPr="00004022">
        <w:rPr>
          <w:b/>
          <w:u w:val="single"/>
          <w:lang w:val="fr-FR"/>
        </w:rPr>
        <w:t>Précisions concernant certains descriptifs d’activité détaillés</w:t>
      </w:r>
      <w:r w:rsidRPr="00004022">
        <w:rPr>
          <w:b/>
          <w:lang w:val="fr-FR"/>
        </w:rPr>
        <w:t xml:space="preserve"> :</w:t>
      </w:r>
    </w:p>
    <w:p w14:paraId="0A3B8674" w14:textId="77777777" w:rsidR="00537000" w:rsidRPr="00004022" w:rsidRDefault="00537000" w:rsidP="00537000">
      <w:pPr>
        <w:jc w:val="both"/>
        <w:rPr>
          <w:sz w:val="16"/>
          <w:lang w:val="fr-FR"/>
        </w:rPr>
      </w:pPr>
    </w:p>
    <w:p w14:paraId="28A1CD35" w14:textId="77777777" w:rsidR="00537000" w:rsidRPr="00004022" w:rsidRDefault="00537000" w:rsidP="00537000">
      <w:pPr>
        <w:pStyle w:val="ListParagraph"/>
        <w:numPr>
          <w:ilvl w:val="0"/>
          <w:numId w:val="64"/>
        </w:numPr>
        <w:ind w:left="567" w:hanging="283"/>
        <w:jc w:val="both"/>
        <w:rPr>
          <w:rFonts w:cstheme="minorHAnsi"/>
          <w:b/>
          <w:szCs w:val="20"/>
          <w:lang w:val="fr-FR"/>
        </w:rPr>
      </w:pPr>
      <w:r w:rsidRPr="003105AC">
        <w:rPr>
          <w:rFonts w:cstheme="minorHAnsi"/>
          <w:b/>
          <w:szCs w:val="20"/>
          <w:lang w:val="fr-FR"/>
        </w:rPr>
        <w:t>Activités réalisées en chirurgie ambulatoire</w:t>
      </w:r>
      <w:r w:rsidRPr="00004022">
        <w:rPr>
          <w:rFonts w:cstheme="minorHAnsi"/>
          <w:b/>
          <w:szCs w:val="20"/>
          <w:lang w:val="fr-FR"/>
        </w:rPr>
        <w:t> :</w:t>
      </w:r>
    </w:p>
    <w:p w14:paraId="624A4584" w14:textId="77777777" w:rsidR="00537000" w:rsidRPr="00004022" w:rsidRDefault="00537000" w:rsidP="00537000">
      <w:pPr>
        <w:ind w:firstLine="720"/>
        <w:jc w:val="both"/>
        <w:rPr>
          <w:lang w:val="fr-FR"/>
        </w:rPr>
      </w:pPr>
    </w:p>
    <w:p w14:paraId="5659BBEF" w14:textId="77777777" w:rsidR="00537000" w:rsidRPr="00004022" w:rsidRDefault="00537000" w:rsidP="00537000">
      <w:pPr>
        <w:pStyle w:val="ListParagraph"/>
        <w:numPr>
          <w:ilvl w:val="0"/>
          <w:numId w:val="10"/>
        </w:numPr>
        <w:ind w:left="993" w:hanging="284"/>
        <w:jc w:val="both"/>
        <w:rPr>
          <w:lang w:val="fr-FR"/>
        </w:rPr>
      </w:pPr>
      <w:bookmarkStart w:id="27" w:name="_Hlk161045813"/>
      <w:r w:rsidRPr="00004022">
        <w:rPr>
          <w:b/>
          <w:lang w:val="fr-FR"/>
        </w:rPr>
        <w:t>Sources des données</w:t>
      </w:r>
      <w:r w:rsidRPr="00004022">
        <w:rPr>
          <w:lang w:val="fr-FR"/>
        </w:rPr>
        <w:t xml:space="preserve"> : </w:t>
      </w:r>
    </w:p>
    <w:p w14:paraId="4B8B97A4" w14:textId="77777777" w:rsidR="00537000" w:rsidRPr="00004022" w:rsidRDefault="00537000" w:rsidP="00537000">
      <w:pPr>
        <w:pStyle w:val="ListParagraph"/>
        <w:numPr>
          <w:ilvl w:val="1"/>
          <w:numId w:val="10"/>
        </w:numPr>
        <w:ind w:left="1418" w:hanging="165"/>
        <w:jc w:val="both"/>
        <w:rPr>
          <w:lang w:val="fr-FR"/>
        </w:rPr>
      </w:pPr>
      <w:bookmarkStart w:id="28" w:name="_Hlk225512929"/>
      <w:r w:rsidRPr="00004022">
        <w:rPr>
          <w:lang w:val="fr-FR"/>
        </w:rPr>
        <w:t>Base de données de la sécurité sociale : facturation des médecins : actes à charge de la CNS remboursés de la facturation des médecins, sans distinction entre salles opératoires et salles virtuelles (une salle virtuelle est un endroit dans lequel le personnel du bloc opératoire est amené à réaliser une activité en dehors du bloc).</w:t>
      </w:r>
    </w:p>
    <w:p w14:paraId="454543EC" w14:textId="77777777" w:rsidR="00537000" w:rsidRPr="00004022" w:rsidRDefault="00537000" w:rsidP="00537000">
      <w:pPr>
        <w:pStyle w:val="ListParagraph"/>
        <w:numPr>
          <w:ilvl w:val="1"/>
          <w:numId w:val="10"/>
        </w:numPr>
        <w:ind w:left="1418" w:hanging="165"/>
        <w:jc w:val="both"/>
        <w:rPr>
          <w:lang w:val="fr-FR"/>
        </w:rPr>
      </w:pPr>
      <w:r w:rsidRPr="00004022">
        <w:rPr>
          <w:lang w:val="fr-FR"/>
        </w:rPr>
        <w:t>Extraction : IGSS</w:t>
      </w:r>
    </w:p>
    <w:p w14:paraId="0D4B8A4E" w14:textId="77777777" w:rsidR="00537000" w:rsidRPr="00004022" w:rsidRDefault="00537000" w:rsidP="00537000">
      <w:pPr>
        <w:pStyle w:val="ListParagraph"/>
        <w:numPr>
          <w:ilvl w:val="1"/>
          <w:numId w:val="10"/>
        </w:numPr>
        <w:ind w:left="1418" w:hanging="165"/>
        <w:jc w:val="both"/>
        <w:rPr>
          <w:lang w:val="fr-FR"/>
        </w:rPr>
      </w:pPr>
      <w:r w:rsidRPr="00004022">
        <w:rPr>
          <w:lang w:val="fr-FR"/>
        </w:rPr>
        <w:t xml:space="preserve">Traitement : </w:t>
      </w:r>
      <w:r w:rsidRPr="005B6F50">
        <w:rPr>
          <w:rFonts w:cstheme="minorHAnsi"/>
          <w:szCs w:val="20"/>
          <w:lang w:val="fr-FR"/>
        </w:rPr>
        <w:t>ObSanté</w:t>
      </w:r>
    </w:p>
    <w:bookmarkEnd w:id="27"/>
    <w:bookmarkEnd w:id="28"/>
    <w:p w14:paraId="26059673" w14:textId="77777777" w:rsidR="00537000" w:rsidRPr="00004022" w:rsidRDefault="00537000" w:rsidP="00537000">
      <w:pPr>
        <w:pStyle w:val="ListParagraph"/>
        <w:ind w:left="360"/>
        <w:jc w:val="both"/>
        <w:rPr>
          <w:rFonts w:cstheme="minorHAnsi"/>
          <w:szCs w:val="20"/>
          <w:lang w:val="fr-FR"/>
        </w:rPr>
      </w:pPr>
    </w:p>
    <w:p w14:paraId="3F697186" w14:textId="77777777" w:rsidR="00537000" w:rsidRPr="00004022" w:rsidRDefault="00537000" w:rsidP="00537000">
      <w:pPr>
        <w:pStyle w:val="ListParagraph"/>
        <w:numPr>
          <w:ilvl w:val="0"/>
          <w:numId w:val="10"/>
        </w:numPr>
        <w:ind w:left="993" w:hanging="284"/>
        <w:jc w:val="both"/>
        <w:rPr>
          <w:lang w:val="fr-FR"/>
        </w:rPr>
      </w:pPr>
      <w:r w:rsidRPr="00004022">
        <w:rPr>
          <w:b/>
          <w:lang w:val="fr-FR"/>
        </w:rPr>
        <w:t>Précisions sur les données</w:t>
      </w:r>
      <w:r w:rsidRPr="00004022">
        <w:rPr>
          <w:lang w:val="fr-FR"/>
        </w:rPr>
        <w:t xml:space="preserve"> : </w:t>
      </w:r>
    </w:p>
    <w:p w14:paraId="4B3500EA" w14:textId="77777777" w:rsidR="00537000" w:rsidRPr="00004022" w:rsidRDefault="00537000" w:rsidP="00537000">
      <w:pPr>
        <w:pStyle w:val="ListParagraph"/>
        <w:numPr>
          <w:ilvl w:val="1"/>
          <w:numId w:val="10"/>
        </w:numPr>
        <w:ind w:left="1418" w:hanging="142"/>
        <w:jc w:val="both"/>
        <w:rPr>
          <w:lang w:val="fr-FR"/>
        </w:rPr>
      </w:pPr>
      <w:r w:rsidRPr="00004022">
        <w:rPr>
          <w:lang w:val="fr-FR"/>
        </w:rPr>
        <w:t>Seuls les actes et procédures faisant partie de la Recommandation du Conseil scientifique dans le domaine de la santé du 24.09.2014 ont fait l’objet d’une présentation dans le présent document.</w:t>
      </w:r>
    </w:p>
    <w:p w14:paraId="4B70E5AD" w14:textId="77777777" w:rsidR="00537000" w:rsidRPr="00004022" w:rsidRDefault="00537000" w:rsidP="00537000">
      <w:pPr>
        <w:pStyle w:val="ListParagraph"/>
        <w:ind w:left="1418"/>
        <w:jc w:val="both"/>
        <w:rPr>
          <w:lang w:val="fr-FR"/>
        </w:rPr>
      </w:pPr>
      <w:r w:rsidRPr="00004022">
        <w:rPr>
          <w:lang w:val="fr-FR"/>
        </w:rPr>
        <w:t>Cette recommandation définit la chirurgie ambulatoire comme « </w:t>
      </w:r>
      <w:r w:rsidRPr="00004022">
        <w:rPr>
          <w:i/>
          <w:lang w:val="fr-FR"/>
        </w:rPr>
        <w:t>des actes chirurgicaux programmés et réalisés dans des conditions techniques nécessitant impérativement la sécurité d’un bloc opératoire, sous une anesthésie de mode variable et suivie d’une surveillance postopératoire permettant, sans risque majoré, la sortie du patient le jour même de son intervention</w:t>
      </w:r>
      <w:r w:rsidRPr="00004022">
        <w:rPr>
          <w:lang w:val="fr-FR"/>
        </w:rPr>
        <w:t> ».</w:t>
      </w:r>
    </w:p>
    <w:p w14:paraId="4528016D" w14:textId="77777777" w:rsidR="00537000" w:rsidRPr="00004022" w:rsidRDefault="00537000" w:rsidP="00537000">
      <w:pPr>
        <w:pStyle w:val="ListParagraph"/>
        <w:ind w:left="1866"/>
        <w:jc w:val="both"/>
        <w:rPr>
          <w:lang w:val="fr-FR"/>
        </w:rPr>
      </w:pPr>
    </w:p>
    <w:p w14:paraId="2ACB9BCC" w14:textId="77777777" w:rsidR="00537000" w:rsidRPr="00004022" w:rsidRDefault="00537000" w:rsidP="00537000">
      <w:pPr>
        <w:pStyle w:val="ListParagraph"/>
        <w:numPr>
          <w:ilvl w:val="1"/>
          <w:numId w:val="10"/>
        </w:numPr>
        <w:ind w:left="1418" w:hanging="142"/>
        <w:jc w:val="both"/>
        <w:rPr>
          <w:lang w:val="fr-FR"/>
        </w:rPr>
      </w:pPr>
      <w:r w:rsidRPr="00004022">
        <w:rPr>
          <w:lang w:val="fr-FR"/>
        </w:rPr>
        <w:t>L’activité ambulatoire correspond aux actes réalisés lors d’une hospitalisation de jour (entrée et sortie le même jour) ou aux actes sans passage par une unité d’hospitalisation pour les patients sortis directement de la salle opératoire ou de la salle de réveil ou ayant quitté l’hôpital après un passage en place de surveillance.</w:t>
      </w:r>
    </w:p>
    <w:p w14:paraId="6024BBD9" w14:textId="77777777" w:rsidR="00537000" w:rsidRPr="00004022" w:rsidRDefault="00537000" w:rsidP="00537000">
      <w:pPr>
        <w:pStyle w:val="ListParagraph"/>
        <w:ind w:left="1418"/>
        <w:jc w:val="both"/>
        <w:rPr>
          <w:lang w:val="fr-FR"/>
        </w:rPr>
      </w:pPr>
      <w:r w:rsidRPr="00004022">
        <w:rPr>
          <w:lang w:val="fr-FR"/>
        </w:rPr>
        <w:t xml:space="preserve">« Sans hôpital » recouvre à la fois les actes réalisés dans des structures </w:t>
      </w:r>
      <w:proofErr w:type="spellStart"/>
      <w:r w:rsidRPr="00004022">
        <w:rPr>
          <w:lang w:val="fr-FR"/>
        </w:rPr>
        <w:t>extra-hospitalières</w:t>
      </w:r>
      <w:proofErr w:type="spellEnd"/>
      <w:r w:rsidRPr="00004022">
        <w:rPr>
          <w:lang w:val="fr-FR"/>
        </w:rPr>
        <w:t xml:space="preserve"> ou les actes pour lesquels l’hôpital n’était pas spécifié.</w:t>
      </w:r>
    </w:p>
    <w:p w14:paraId="7C474C65" w14:textId="77777777" w:rsidR="00537000" w:rsidRPr="00004022" w:rsidRDefault="00537000" w:rsidP="00537000">
      <w:pPr>
        <w:pStyle w:val="ListParagraph"/>
        <w:ind w:left="1418"/>
        <w:jc w:val="both"/>
        <w:rPr>
          <w:lang w:val="fr-FR"/>
        </w:rPr>
      </w:pPr>
    </w:p>
    <w:p w14:paraId="564AB35B" w14:textId="77777777" w:rsidR="00537000" w:rsidRPr="003105AC" w:rsidRDefault="00537000" w:rsidP="00537000">
      <w:pPr>
        <w:pStyle w:val="ListParagraph"/>
        <w:numPr>
          <w:ilvl w:val="0"/>
          <w:numId w:val="65"/>
        </w:numPr>
        <w:spacing w:before="240"/>
        <w:ind w:left="567" w:hanging="283"/>
        <w:jc w:val="both"/>
        <w:rPr>
          <w:rFonts w:cstheme="minorHAnsi"/>
          <w:b/>
          <w:szCs w:val="20"/>
          <w:lang w:val="fr-FR"/>
        </w:rPr>
      </w:pPr>
      <w:r w:rsidRPr="003105AC">
        <w:rPr>
          <w:rFonts w:cstheme="minorHAnsi"/>
          <w:b/>
          <w:szCs w:val="20"/>
          <w:lang w:val="fr-FR"/>
        </w:rPr>
        <w:t>Focus sur les accouchements, la PMA et la prématurité</w:t>
      </w:r>
      <w:r w:rsidRPr="00004022">
        <w:rPr>
          <w:rFonts w:cstheme="minorHAnsi"/>
          <w:b/>
          <w:szCs w:val="20"/>
          <w:lang w:val="fr-FR"/>
        </w:rPr>
        <w:t xml:space="preserve"> :</w:t>
      </w:r>
    </w:p>
    <w:p w14:paraId="0ACF7CDC" w14:textId="77777777" w:rsidR="00537000" w:rsidRPr="00004022" w:rsidRDefault="00537000" w:rsidP="00537000">
      <w:pPr>
        <w:pStyle w:val="ListParagraph"/>
        <w:ind w:left="426"/>
        <w:jc w:val="both"/>
        <w:rPr>
          <w:rFonts w:cstheme="minorHAnsi"/>
          <w:b/>
          <w:szCs w:val="20"/>
          <w:lang w:val="fr-FR"/>
        </w:rPr>
      </w:pPr>
    </w:p>
    <w:p w14:paraId="54F5AC62" w14:textId="77777777" w:rsidR="00537000" w:rsidRDefault="00537000" w:rsidP="00537000">
      <w:pPr>
        <w:pStyle w:val="ListParagraph"/>
        <w:numPr>
          <w:ilvl w:val="0"/>
          <w:numId w:val="10"/>
        </w:numPr>
        <w:jc w:val="both"/>
        <w:rPr>
          <w:rFonts w:cstheme="minorHAnsi"/>
          <w:szCs w:val="20"/>
          <w:lang w:val="fr-FR"/>
        </w:rPr>
      </w:pPr>
      <w:r w:rsidRPr="00004022">
        <w:rPr>
          <w:rFonts w:cstheme="minorHAnsi"/>
          <w:b/>
          <w:szCs w:val="20"/>
          <w:lang w:val="fr-FR"/>
        </w:rPr>
        <w:t>Source des données :</w:t>
      </w:r>
      <w:r w:rsidRPr="00004022">
        <w:rPr>
          <w:rFonts w:cstheme="minorHAnsi"/>
          <w:szCs w:val="20"/>
          <w:lang w:val="fr-FR"/>
        </w:rPr>
        <w:t xml:space="preserve"> Direction de la santé</w:t>
      </w:r>
      <w:r>
        <w:rPr>
          <w:rFonts w:cstheme="minorHAnsi"/>
          <w:szCs w:val="20"/>
          <w:lang w:val="fr-FR"/>
        </w:rPr>
        <w:t>, Service épidémiologie et statistique</w:t>
      </w:r>
      <w:r w:rsidRPr="00004022">
        <w:rPr>
          <w:rFonts w:cstheme="minorHAnsi"/>
          <w:szCs w:val="20"/>
          <w:lang w:val="fr-FR"/>
        </w:rPr>
        <w:t>/LIH, système de surveillance de la santé périnatale : recueil continu, systématique, exhaustif de données liées à l’accouchement, au suivi de grossesse, au post-partum immédiat et aux hospitalisations des nouveau-nés en néonatologie.</w:t>
      </w:r>
    </w:p>
    <w:p w14:paraId="6FE308BC" w14:textId="77777777" w:rsidR="00537000" w:rsidRDefault="00537000" w:rsidP="00537000">
      <w:pPr>
        <w:pStyle w:val="ListParagraph"/>
        <w:ind w:left="1146"/>
        <w:jc w:val="both"/>
        <w:rPr>
          <w:rFonts w:cstheme="minorHAnsi"/>
          <w:szCs w:val="20"/>
          <w:lang w:val="fr-FR"/>
        </w:rPr>
      </w:pPr>
    </w:p>
    <w:p w14:paraId="73D30C08" w14:textId="77777777" w:rsidR="00537000" w:rsidRPr="00004022" w:rsidRDefault="00537000" w:rsidP="00537000">
      <w:pPr>
        <w:pStyle w:val="ListParagraph"/>
        <w:numPr>
          <w:ilvl w:val="0"/>
          <w:numId w:val="66"/>
        </w:numPr>
        <w:ind w:left="567" w:hanging="283"/>
        <w:jc w:val="both"/>
        <w:rPr>
          <w:rFonts w:cstheme="minorHAnsi"/>
          <w:b/>
          <w:szCs w:val="20"/>
          <w:lang w:val="fr-FR"/>
        </w:rPr>
      </w:pPr>
      <w:r w:rsidRPr="00A27288">
        <w:rPr>
          <w:rFonts w:cstheme="minorHAnsi"/>
          <w:b/>
          <w:szCs w:val="20"/>
          <w:lang w:val="fr-FR"/>
        </w:rPr>
        <w:t>Activités réalisées par les services d’urgence</w:t>
      </w:r>
      <w:r w:rsidRPr="00004022">
        <w:rPr>
          <w:rFonts w:cstheme="minorHAnsi"/>
          <w:b/>
          <w:szCs w:val="20"/>
          <w:lang w:val="fr-FR"/>
        </w:rPr>
        <w:t> :</w:t>
      </w:r>
    </w:p>
    <w:p w14:paraId="028172F1" w14:textId="77777777" w:rsidR="00537000" w:rsidRPr="00004022" w:rsidRDefault="00537000" w:rsidP="00537000">
      <w:pPr>
        <w:jc w:val="both"/>
        <w:rPr>
          <w:lang w:val="fr-FR"/>
        </w:rPr>
      </w:pPr>
    </w:p>
    <w:p w14:paraId="3B23278C" w14:textId="77777777" w:rsidR="00537000" w:rsidRPr="00004022" w:rsidRDefault="00537000" w:rsidP="00537000">
      <w:pPr>
        <w:pStyle w:val="ListParagraph"/>
        <w:numPr>
          <w:ilvl w:val="0"/>
          <w:numId w:val="10"/>
        </w:numPr>
        <w:jc w:val="both"/>
        <w:rPr>
          <w:lang w:val="fr-FR"/>
        </w:rPr>
      </w:pPr>
      <w:r w:rsidRPr="00004022">
        <w:rPr>
          <w:b/>
          <w:lang w:val="fr-FR"/>
        </w:rPr>
        <w:t>Sources des données</w:t>
      </w:r>
      <w:r w:rsidRPr="00004022">
        <w:rPr>
          <w:lang w:val="fr-FR"/>
        </w:rPr>
        <w:t xml:space="preserve"> : </w:t>
      </w:r>
    </w:p>
    <w:p w14:paraId="4EB0EED7" w14:textId="77777777" w:rsidR="00537000" w:rsidRPr="00004022" w:rsidRDefault="00537000" w:rsidP="00537000">
      <w:pPr>
        <w:pStyle w:val="ListParagraph"/>
        <w:numPr>
          <w:ilvl w:val="1"/>
          <w:numId w:val="10"/>
        </w:numPr>
        <w:ind w:left="1560" w:hanging="165"/>
        <w:jc w:val="both"/>
        <w:rPr>
          <w:lang w:val="fr-FR"/>
        </w:rPr>
      </w:pPr>
      <w:r w:rsidRPr="000D13E2">
        <w:rPr>
          <w:lang w:val="fr-FR"/>
        </w:rPr>
        <w:t>Direction de la Santé (</w:t>
      </w:r>
      <w:r>
        <w:rPr>
          <w:lang w:val="fr-FR"/>
        </w:rPr>
        <w:t>Réponses des établissements hospitaliers aux formulaires de collecte de données relatifs</w:t>
      </w:r>
      <w:r w:rsidRPr="000D13E2">
        <w:rPr>
          <w:lang w:val="fr-FR"/>
        </w:rPr>
        <w:t xml:space="preserve"> aux indicateurs d'activité et de processus des services d'urgence) ; données transmises par les établissements hospitaliers disposant de services d'urgence, conformément aux dispositions du règlement grand-ducal modifié du 25 janvier 2019, déterminant les exigences et normes applicables aux services hospitaliers d'urgence et au service hospitalier national d'urgence pédiatrique (point 7 de l'annexe).</w:t>
      </w:r>
    </w:p>
    <w:p w14:paraId="74C79BCC" w14:textId="77777777" w:rsidR="00537000" w:rsidRPr="00004022" w:rsidRDefault="00537000" w:rsidP="00537000">
      <w:pPr>
        <w:pStyle w:val="ListParagraph"/>
        <w:numPr>
          <w:ilvl w:val="1"/>
          <w:numId w:val="10"/>
        </w:numPr>
        <w:ind w:left="1560" w:hanging="165"/>
        <w:jc w:val="both"/>
        <w:rPr>
          <w:lang w:val="fr-FR"/>
        </w:rPr>
      </w:pPr>
      <w:r w:rsidRPr="00004022">
        <w:rPr>
          <w:lang w:val="fr-FR"/>
        </w:rPr>
        <w:t xml:space="preserve">Traitement : </w:t>
      </w:r>
      <w:r w:rsidRPr="005B6F50">
        <w:rPr>
          <w:rFonts w:cstheme="minorHAnsi"/>
          <w:szCs w:val="20"/>
          <w:lang w:val="fr-FR"/>
        </w:rPr>
        <w:t>ObSanté</w:t>
      </w:r>
    </w:p>
    <w:p w14:paraId="28B0DE51" w14:textId="77777777" w:rsidR="00537000" w:rsidRPr="00004022" w:rsidRDefault="00537000" w:rsidP="00537000">
      <w:pPr>
        <w:pStyle w:val="ListParagraph"/>
        <w:ind w:left="360"/>
        <w:jc w:val="both"/>
        <w:rPr>
          <w:rFonts w:cstheme="minorHAnsi"/>
          <w:szCs w:val="20"/>
          <w:lang w:val="fr-FR"/>
        </w:rPr>
      </w:pPr>
    </w:p>
    <w:p w14:paraId="244D90FC" w14:textId="77777777" w:rsidR="00537000" w:rsidRPr="00004022" w:rsidRDefault="00537000" w:rsidP="00537000">
      <w:pPr>
        <w:pStyle w:val="ListParagraph"/>
        <w:numPr>
          <w:ilvl w:val="0"/>
          <w:numId w:val="10"/>
        </w:numPr>
        <w:jc w:val="both"/>
        <w:rPr>
          <w:lang w:val="fr-FR"/>
        </w:rPr>
      </w:pPr>
      <w:r w:rsidRPr="00004022">
        <w:rPr>
          <w:b/>
          <w:lang w:val="fr-FR"/>
        </w:rPr>
        <w:t>Précisions sur les données</w:t>
      </w:r>
      <w:r w:rsidRPr="00004022">
        <w:rPr>
          <w:lang w:val="fr-FR"/>
        </w:rPr>
        <w:t xml:space="preserve"> : </w:t>
      </w:r>
    </w:p>
    <w:p w14:paraId="4EBFD8EE" w14:textId="77777777" w:rsidR="00537000" w:rsidRDefault="00537000" w:rsidP="00537000">
      <w:pPr>
        <w:pStyle w:val="ListParagraph"/>
        <w:numPr>
          <w:ilvl w:val="1"/>
          <w:numId w:val="10"/>
        </w:numPr>
        <w:ind w:left="1560" w:hanging="142"/>
        <w:jc w:val="both"/>
        <w:rPr>
          <w:rFonts w:cstheme="minorHAnsi"/>
          <w:szCs w:val="20"/>
          <w:lang w:val="fr-FR"/>
        </w:rPr>
      </w:pPr>
      <w:r>
        <w:rPr>
          <w:rFonts w:cstheme="minorHAnsi"/>
          <w:szCs w:val="20"/>
          <w:lang w:val="fr-FR"/>
        </w:rPr>
        <w:t>Les données incluent les passages non programmés dans les services hospitaliers d’urgence répondant aux définitions de la loi hospitalière modifiée de 2018 (annexe 2) : quatre services d’urgence (</w:t>
      </w:r>
      <w:proofErr w:type="spellStart"/>
      <w:r>
        <w:rPr>
          <w:rFonts w:cstheme="minorHAnsi"/>
          <w:szCs w:val="20"/>
          <w:lang w:val="fr-FR"/>
        </w:rPr>
        <w:t>CHdN</w:t>
      </w:r>
      <w:proofErr w:type="spellEnd"/>
      <w:r>
        <w:rPr>
          <w:rFonts w:cstheme="minorHAnsi"/>
          <w:szCs w:val="20"/>
          <w:lang w:val="fr-FR"/>
        </w:rPr>
        <w:t>-Ettelbruck, CHEM-Esch, CHL-Centre et HRS-Kirchberg) et le service national d’urgence pédiatrique (CHL-</w:t>
      </w:r>
      <w:proofErr w:type="spellStart"/>
      <w:r>
        <w:rPr>
          <w:rFonts w:cstheme="minorHAnsi"/>
          <w:szCs w:val="20"/>
          <w:lang w:val="fr-FR"/>
        </w:rPr>
        <w:t>Kannerklinik</w:t>
      </w:r>
      <w:proofErr w:type="spellEnd"/>
      <w:r>
        <w:rPr>
          <w:rFonts w:cstheme="minorHAnsi"/>
          <w:szCs w:val="20"/>
          <w:lang w:val="fr-FR"/>
        </w:rPr>
        <w:t>). Les policliniques non programmées sont exclues du champ de l’analyse.</w:t>
      </w:r>
    </w:p>
    <w:p w14:paraId="30F203F2"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Un passage correspond à une présentation non programmée d'un patient dans un service d’urgence.</w:t>
      </w:r>
    </w:p>
    <w:p w14:paraId="4F8E1A74"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Un seul passage est comptabilisé par établissement, même si le patient y enchaîne plusieurs admissions lors de son passage aux urgences (par exemple : accueil aux urgences et transfert direct en service de maternité non programmée).</w:t>
      </w:r>
    </w:p>
    <w:p w14:paraId="1999AF2E"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Lorsqu’un patient est transféré vers un autre établissement, deux passages sont comptabilisés, un pour chaque établissement, avec potentiellement des niveaux de l'échelle canadienne de triage et gravité (ETG) différents.</w:t>
      </w:r>
    </w:p>
    <w:p w14:paraId="37E245C9"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Les passages répétés d’un même patient aux urgences, après une sortie du service, sont comptabilisés séparément, avec potentiellement des niveaux de l'ETG différents pour chaque passage.</w:t>
      </w:r>
    </w:p>
    <w:p w14:paraId="7E9C1432"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Le séjour aux urgences est limité à la période comprise entre l’admission et la sortie physique du service d’urgence et ne tient pas compte du séjour dans le service porte. En cas de retour du patient du service porte vers les urgences, seule la première durée entre admission et sortie est considérée.</w:t>
      </w:r>
    </w:p>
    <w:p w14:paraId="44BFBCBF"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Les admissions sont comptabilisées par journée civile (0h00</w:t>
      </w:r>
      <w:r>
        <w:rPr>
          <w:rFonts w:cstheme="minorHAnsi"/>
          <w:szCs w:val="20"/>
          <w:lang w:val="fr-FR"/>
        </w:rPr>
        <w:t>-</w:t>
      </w:r>
      <w:r w:rsidRPr="000D13E2">
        <w:rPr>
          <w:rFonts w:cstheme="minorHAnsi"/>
          <w:szCs w:val="20"/>
          <w:lang w:val="fr-FR"/>
        </w:rPr>
        <w:t>23h59).</w:t>
      </w:r>
    </w:p>
    <w:p w14:paraId="0AB8CB86" w14:textId="77777777" w:rsidR="00537000" w:rsidRDefault="00537000" w:rsidP="00537000">
      <w:pPr>
        <w:pStyle w:val="ListParagraph"/>
        <w:numPr>
          <w:ilvl w:val="1"/>
          <w:numId w:val="10"/>
        </w:numPr>
        <w:ind w:left="1560" w:hanging="142"/>
        <w:jc w:val="both"/>
        <w:rPr>
          <w:rFonts w:cstheme="minorHAnsi"/>
          <w:szCs w:val="20"/>
          <w:lang w:val="fr-FR"/>
        </w:rPr>
      </w:pPr>
      <w:r w:rsidRPr="000D13E2">
        <w:rPr>
          <w:rFonts w:cstheme="minorHAnsi"/>
          <w:szCs w:val="20"/>
          <w:lang w:val="fr-FR"/>
        </w:rPr>
        <w:t>Le niveau de l'ETG retenu correspond au niveau initial déterminé au triage par l’infirmier d’accueil et d’orientation.</w:t>
      </w:r>
    </w:p>
    <w:p w14:paraId="6E6488E0" w14:textId="77777777" w:rsidR="00537000" w:rsidRPr="00232A27" w:rsidRDefault="00537000" w:rsidP="00537000">
      <w:pPr>
        <w:pStyle w:val="ListParagraph"/>
        <w:numPr>
          <w:ilvl w:val="1"/>
          <w:numId w:val="10"/>
        </w:numPr>
        <w:ind w:left="1560" w:hanging="142"/>
        <w:jc w:val="both"/>
        <w:rPr>
          <w:rFonts w:cstheme="minorHAnsi"/>
          <w:szCs w:val="20"/>
          <w:lang w:val="fr-FR"/>
        </w:rPr>
      </w:pPr>
      <w:r>
        <w:rPr>
          <w:rFonts w:cstheme="minorHAnsi"/>
          <w:szCs w:val="20"/>
          <w:lang w:val="fr-FR"/>
        </w:rPr>
        <w:t>Les passages pédiatriques incluent les passages de patients âgés jusqu’à 18 ans inclus. Toutefois, l</w:t>
      </w:r>
      <w:r w:rsidRPr="00232A27">
        <w:rPr>
          <w:rFonts w:cstheme="minorHAnsi"/>
          <w:szCs w:val="20"/>
          <w:lang w:val="fr-FR"/>
        </w:rPr>
        <w:t xml:space="preserve">a classification des patients âgés de 18 ans diffère selon les services d'urgence. Les patients âgés de 18 ans sont exclus des passages pédiatriques au </w:t>
      </w:r>
      <w:proofErr w:type="spellStart"/>
      <w:r w:rsidRPr="00232A27">
        <w:rPr>
          <w:rFonts w:cstheme="minorHAnsi"/>
          <w:szCs w:val="20"/>
          <w:lang w:val="fr-FR"/>
        </w:rPr>
        <w:t>CHdN</w:t>
      </w:r>
      <w:proofErr w:type="spellEnd"/>
      <w:r w:rsidRPr="00232A27">
        <w:rPr>
          <w:rFonts w:cstheme="minorHAnsi"/>
          <w:szCs w:val="20"/>
          <w:lang w:val="fr-FR"/>
        </w:rPr>
        <w:t>, au CHL et aux HRS, mais inclus dans ceux du CHEM et du CHL-</w:t>
      </w:r>
      <w:proofErr w:type="spellStart"/>
      <w:r w:rsidRPr="00232A27">
        <w:rPr>
          <w:rFonts w:cstheme="minorHAnsi"/>
          <w:szCs w:val="20"/>
          <w:lang w:val="fr-FR"/>
        </w:rPr>
        <w:t>Kannerklinik</w:t>
      </w:r>
      <w:proofErr w:type="spellEnd"/>
      <w:r w:rsidRPr="00232A27">
        <w:rPr>
          <w:rFonts w:cstheme="minorHAnsi"/>
          <w:szCs w:val="20"/>
          <w:lang w:val="fr-FR"/>
        </w:rPr>
        <w:t>.</w:t>
      </w:r>
    </w:p>
    <w:p w14:paraId="21E3F83B" w14:textId="77777777" w:rsidR="00537000" w:rsidRDefault="00537000" w:rsidP="00537000">
      <w:pPr>
        <w:pStyle w:val="ListParagraph"/>
        <w:numPr>
          <w:ilvl w:val="1"/>
          <w:numId w:val="10"/>
        </w:numPr>
        <w:ind w:left="1560" w:hanging="142"/>
        <w:jc w:val="both"/>
        <w:rPr>
          <w:rFonts w:cstheme="minorHAnsi"/>
          <w:szCs w:val="20"/>
          <w:lang w:val="fr-FR"/>
        </w:rPr>
      </w:pPr>
      <w:r w:rsidRPr="00232A27">
        <w:rPr>
          <w:rFonts w:cstheme="minorHAnsi"/>
          <w:szCs w:val="20"/>
          <w:lang w:val="fr-FR"/>
        </w:rPr>
        <w:t>Aux HRS, les patients pédiatriques ne sont pas pris en charge principalement par le service d'urgence, mais par la policlinique non programmée.</w:t>
      </w:r>
    </w:p>
    <w:p w14:paraId="41B6B6D7" w14:textId="77777777" w:rsidR="00537000" w:rsidRPr="00232A27" w:rsidRDefault="00537000" w:rsidP="00537000">
      <w:pPr>
        <w:jc w:val="both"/>
        <w:rPr>
          <w:rFonts w:cstheme="minorHAnsi"/>
          <w:szCs w:val="20"/>
          <w:lang w:val="fr-FR"/>
        </w:rPr>
      </w:pPr>
    </w:p>
    <w:p w14:paraId="199133EB" w14:textId="77777777" w:rsidR="00537000" w:rsidRPr="000D13E2" w:rsidRDefault="00537000" w:rsidP="00537000">
      <w:pPr>
        <w:jc w:val="both"/>
        <w:rPr>
          <w:rFonts w:cstheme="minorHAnsi"/>
          <w:szCs w:val="20"/>
          <w:lang w:val="fr-FR"/>
        </w:rPr>
      </w:pPr>
      <w:r w:rsidRPr="000D13E2">
        <w:rPr>
          <w:rFonts w:cstheme="minorHAnsi"/>
          <w:szCs w:val="20"/>
          <w:lang w:val="fr-FR"/>
        </w:rPr>
        <w:br w:type="page"/>
      </w:r>
    </w:p>
    <w:p w14:paraId="728181BB" w14:textId="77777777" w:rsidR="00537000" w:rsidRPr="00A27288" w:rsidRDefault="00537000" w:rsidP="00537000">
      <w:pPr>
        <w:pStyle w:val="Newniveau3"/>
      </w:pPr>
      <w:bookmarkStart w:id="29" w:name="_Toc161911972"/>
      <w:bookmarkStart w:id="30" w:name="_Toc230556014"/>
      <w:r w:rsidRPr="00D7362E">
        <w:t>Décès hospitaliers</w:t>
      </w:r>
      <w:bookmarkEnd w:id="29"/>
      <w:bookmarkEnd w:id="30"/>
    </w:p>
    <w:p w14:paraId="6D5AC816" w14:textId="77777777" w:rsidR="00537000" w:rsidRPr="00004022" w:rsidRDefault="00537000" w:rsidP="00537000">
      <w:pPr>
        <w:rPr>
          <w:b/>
          <w:u w:val="single"/>
          <w:lang w:val="fr-FR"/>
        </w:rPr>
      </w:pPr>
      <w:r w:rsidRPr="00004022">
        <w:rPr>
          <w:b/>
          <w:u w:val="single"/>
          <w:lang w:val="fr-FR"/>
        </w:rPr>
        <w:t>Source des données</w:t>
      </w:r>
    </w:p>
    <w:p w14:paraId="4EBAD639" w14:textId="77777777" w:rsidR="00537000" w:rsidRPr="00004022" w:rsidRDefault="00537000" w:rsidP="00537000">
      <w:pPr>
        <w:jc w:val="both"/>
        <w:rPr>
          <w:rFonts w:cstheme="minorHAnsi"/>
          <w:szCs w:val="20"/>
          <w:u w:val="single"/>
          <w:lang w:val="fr-FR"/>
        </w:rPr>
      </w:pPr>
    </w:p>
    <w:p w14:paraId="70B927A3" w14:textId="77777777" w:rsidR="00537000" w:rsidRPr="00004022" w:rsidRDefault="00537000" w:rsidP="00537000">
      <w:pPr>
        <w:pStyle w:val="ListParagraph"/>
        <w:numPr>
          <w:ilvl w:val="0"/>
          <w:numId w:val="4"/>
        </w:numPr>
        <w:ind w:hanging="218"/>
        <w:jc w:val="both"/>
        <w:rPr>
          <w:rFonts w:cstheme="minorHAnsi"/>
          <w:szCs w:val="20"/>
          <w:u w:val="single"/>
          <w:lang w:val="fr-FR"/>
        </w:rPr>
      </w:pPr>
      <w:r w:rsidRPr="00004022">
        <w:rPr>
          <w:rFonts w:cstheme="minorHAnsi"/>
          <w:szCs w:val="20"/>
          <w:lang w:val="fr-FR"/>
        </w:rPr>
        <w:t>Direction de la santé, Service épidémiologie et statistique, Registre des causes de décès : il s’agit des décès de fait, c’est-à-dire des cas de décès ayant lieu sur le territoire luxembourgeois, quel que soit le lieu de résidence de la personne décédée.</w:t>
      </w:r>
    </w:p>
    <w:p w14:paraId="0A329DBE" w14:textId="77777777" w:rsidR="00537000" w:rsidRPr="00004022" w:rsidRDefault="00537000" w:rsidP="00537000">
      <w:pPr>
        <w:pStyle w:val="ListParagraph"/>
        <w:numPr>
          <w:ilvl w:val="0"/>
          <w:numId w:val="4"/>
        </w:numPr>
        <w:ind w:hanging="218"/>
        <w:jc w:val="both"/>
        <w:rPr>
          <w:rFonts w:cstheme="minorHAnsi"/>
          <w:szCs w:val="20"/>
          <w:u w:val="single"/>
          <w:lang w:val="fr-FR"/>
        </w:rPr>
      </w:pPr>
      <w:r w:rsidRPr="00004022">
        <w:rPr>
          <w:rFonts w:cstheme="minorHAnsi"/>
          <w:szCs w:val="20"/>
          <w:lang w:val="fr-FR"/>
        </w:rPr>
        <w:t>Extraction et traitement : Direction de la santé, Service épidémiologie et statistique</w:t>
      </w:r>
    </w:p>
    <w:p w14:paraId="52DA2983" w14:textId="77777777" w:rsidR="00537000" w:rsidRPr="00004022" w:rsidRDefault="00537000" w:rsidP="00537000">
      <w:pPr>
        <w:pStyle w:val="ListParagraph"/>
        <w:ind w:left="360"/>
        <w:jc w:val="both"/>
        <w:rPr>
          <w:rFonts w:cstheme="minorHAnsi"/>
          <w:szCs w:val="20"/>
          <w:u w:val="single"/>
          <w:lang w:val="fr-FR"/>
        </w:rPr>
      </w:pPr>
    </w:p>
    <w:p w14:paraId="167755DE" w14:textId="77777777" w:rsidR="00537000" w:rsidRPr="00004022" w:rsidRDefault="00537000" w:rsidP="00537000">
      <w:pPr>
        <w:rPr>
          <w:b/>
          <w:u w:val="single"/>
          <w:lang w:val="fr-FR"/>
        </w:rPr>
      </w:pPr>
      <w:r w:rsidRPr="00004022">
        <w:rPr>
          <w:b/>
          <w:u w:val="single"/>
          <w:lang w:val="fr-FR"/>
        </w:rPr>
        <w:t>Champ d’observation et périmètre des données</w:t>
      </w:r>
    </w:p>
    <w:p w14:paraId="7B25DFDD" w14:textId="77777777" w:rsidR="00537000" w:rsidRPr="00004022" w:rsidRDefault="00537000" w:rsidP="00537000">
      <w:pPr>
        <w:jc w:val="both"/>
        <w:rPr>
          <w:rFonts w:cstheme="minorHAnsi"/>
          <w:szCs w:val="20"/>
          <w:u w:val="single"/>
          <w:lang w:val="fr-FR"/>
        </w:rPr>
      </w:pPr>
    </w:p>
    <w:p w14:paraId="770A26A8" w14:textId="77777777" w:rsidR="00537000" w:rsidRPr="00004022" w:rsidRDefault="00537000" w:rsidP="00537000">
      <w:pPr>
        <w:pStyle w:val="ListParagraph"/>
        <w:numPr>
          <w:ilvl w:val="0"/>
          <w:numId w:val="4"/>
        </w:numPr>
        <w:ind w:hanging="218"/>
        <w:jc w:val="both"/>
        <w:rPr>
          <w:rFonts w:cstheme="minorHAnsi"/>
          <w:b/>
          <w:szCs w:val="20"/>
          <w:lang w:val="fr-FR"/>
        </w:rPr>
      </w:pPr>
      <w:r w:rsidRPr="00004022">
        <w:rPr>
          <w:rFonts w:cstheme="minorHAnsi"/>
          <w:szCs w:val="20"/>
          <w:lang w:val="fr-FR"/>
        </w:rPr>
        <w:t xml:space="preserve">Seuls les décès des établissements hospitaliers aigus sont recensés dans la présente Carte sanitaire car les décès intervenus dans certains établissements de moyen séjour ne sont pas différentiables des décès intervenus en établissement de long séjour lorsqu’il y a un hôpital et une institution de long séjour sur le même site.  </w:t>
      </w:r>
    </w:p>
    <w:p w14:paraId="5B79E128" w14:textId="77777777" w:rsidR="00537000" w:rsidRPr="00004022" w:rsidRDefault="00537000" w:rsidP="00537000">
      <w:pPr>
        <w:pStyle w:val="ListParagraph"/>
        <w:ind w:left="360"/>
        <w:jc w:val="both"/>
        <w:rPr>
          <w:rFonts w:cstheme="minorHAnsi"/>
          <w:szCs w:val="20"/>
          <w:u w:val="single"/>
          <w:lang w:val="fr-FR"/>
        </w:rPr>
      </w:pPr>
      <w:r w:rsidRPr="00004022">
        <w:rPr>
          <w:rFonts w:cstheme="minorHAnsi"/>
          <w:sz w:val="18"/>
          <w:szCs w:val="20"/>
          <w:lang w:val="fr-FR"/>
        </w:rPr>
        <w:sym w:font="Wingdings" w:char="F0E0"/>
      </w:r>
      <w:r w:rsidRPr="00004022">
        <w:rPr>
          <w:rFonts w:cstheme="minorHAnsi"/>
          <w:sz w:val="18"/>
          <w:szCs w:val="20"/>
          <w:lang w:val="fr-FR"/>
        </w:rPr>
        <w:t xml:space="preserve"> E</w:t>
      </w:r>
      <w:r w:rsidRPr="00004022">
        <w:rPr>
          <w:rFonts w:cstheme="minorHAnsi"/>
          <w:szCs w:val="20"/>
          <w:lang w:val="fr-FR"/>
        </w:rPr>
        <w:t xml:space="preserve">tablissements hospitaliers aigus : </w:t>
      </w:r>
      <w:proofErr w:type="spellStart"/>
      <w:r w:rsidRPr="00004022">
        <w:rPr>
          <w:rFonts w:cstheme="minorHAnsi"/>
          <w:szCs w:val="20"/>
          <w:lang w:val="fr-FR"/>
        </w:rPr>
        <w:t>CHdN</w:t>
      </w:r>
      <w:proofErr w:type="spellEnd"/>
      <w:r w:rsidRPr="00004022">
        <w:rPr>
          <w:rFonts w:cstheme="minorHAnsi"/>
          <w:szCs w:val="20"/>
          <w:lang w:val="fr-FR"/>
        </w:rPr>
        <w:t>, CHL, CHEM, HRS, INCCI</w:t>
      </w:r>
    </w:p>
    <w:p w14:paraId="6DBFAB8C" w14:textId="77777777" w:rsidR="00537000" w:rsidRPr="00004022" w:rsidRDefault="00537000" w:rsidP="00537000">
      <w:pPr>
        <w:pStyle w:val="ListParagraph"/>
        <w:numPr>
          <w:ilvl w:val="0"/>
          <w:numId w:val="4"/>
        </w:numPr>
        <w:ind w:hanging="218"/>
        <w:jc w:val="both"/>
        <w:rPr>
          <w:rFonts w:cstheme="minorHAnsi"/>
          <w:szCs w:val="20"/>
          <w:u w:val="single"/>
          <w:lang w:val="fr-FR"/>
        </w:rPr>
      </w:pPr>
      <w:r w:rsidRPr="00004022">
        <w:rPr>
          <w:rFonts w:cstheme="minorHAnsi"/>
          <w:szCs w:val="20"/>
          <w:lang w:val="fr-FR"/>
        </w:rPr>
        <w:t>Population concernée : résidents et non-résidents décédés dans un établissement hospitalier aigu.</w:t>
      </w:r>
      <w:r>
        <w:rPr>
          <w:rFonts w:cstheme="minorHAnsi"/>
          <w:szCs w:val="20"/>
          <w:lang w:val="fr-FR"/>
        </w:rPr>
        <w:t xml:space="preserve"> Les enfants mort-nés sont exclus du périmètre des données.</w:t>
      </w:r>
    </w:p>
    <w:p w14:paraId="6D2508E7" w14:textId="77777777" w:rsidR="00537000" w:rsidRPr="003D5FCC" w:rsidRDefault="00537000" w:rsidP="00537000">
      <w:pPr>
        <w:pStyle w:val="Newniveau3"/>
      </w:pPr>
      <w:bookmarkStart w:id="31" w:name="_Toc161911973"/>
      <w:bookmarkStart w:id="32" w:name="_Toc230556015"/>
      <w:r w:rsidRPr="00D7362E">
        <w:t>Transferts à l’étranger</w:t>
      </w:r>
      <w:bookmarkEnd w:id="31"/>
      <w:bookmarkEnd w:id="32"/>
    </w:p>
    <w:p w14:paraId="40D36740" w14:textId="77777777" w:rsidR="00537000" w:rsidRPr="00004022" w:rsidRDefault="00537000" w:rsidP="00537000">
      <w:pPr>
        <w:rPr>
          <w:b/>
          <w:u w:val="single"/>
          <w:lang w:val="fr-FR"/>
        </w:rPr>
      </w:pPr>
      <w:r w:rsidRPr="00004022">
        <w:rPr>
          <w:b/>
          <w:u w:val="single"/>
          <w:lang w:val="fr-FR"/>
        </w:rPr>
        <w:t>Source des données</w:t>
      </w:r>
    </w:p>
    <w:p w14:paraId="092CDA4B" w14:textId="77777777" w:rsidR="00537000" w:rsidRPr="00A27288" w:rsidRDefault="00537000" w:rsidP="00537000">
      <w:pPr>
        <w:rPr>
          <w:b/>
          <w:u w:val="single"/>
          <w:lang w:val="fr-FR"/>
        </w:rPr>
      </w:pPr>
    </w:p>
    <w:p w14:paraId="18BF3322" w14:textId="77777777" w:rsidR="00537000" w:rsidRPr="00CE77BE" w:rsidRDefault="00537000" w:rsidP="00537000">
      <w:pPr>
        <w:pStyle w:val="ListParagraph"/>
        <w:numPr>
          <w:ilvl w:val="0"/>
          <w:numId w:val="67"/>
        </w:numPr>
        <w:ind w:left="284" w:hanging="142"/>
        <w:jc w:val="both"/>
        <w:rPr>
          <w:rFonts w:cs="Arial"/>
          <w:lang w:val="fr-FR"/>
        </w:rPr>
      </w:pPr>
      <w:r w:rsidRPr="00CE77BE">
        <w:rPr>
          <w:rFonts w:cs="Arial"/>
          <w:lang w:val="fr-FR"/>
        </w:rPr>
        <w:t>Base de données de la sécurité sociale</w:t>
      </w:r>
    </w:p>
    <w:p w14:paraId="7A19688E" w14:textId="77777777" w:rsidR="00537000" w:rsidRPr="00CE77BE" w:rsidRDefault="00537000" w:rsidP="00537000">
      <w:pPr>
        <w:pStyle w:val="ListParagraph"/>
        <w:numPr>
          <w:ilvl w:val="0"/>
          <w:numId w:val="67"/>
        </w:numPr>
        <w:ind w:left="284" w:hanging="142"/>
        <w:jc w:val="both"/>
        <w:rPr>
          <w:rFonts w:cs="Arial"/>
          <w:lang w:val="fr-FR"/>
        </w:rPr>
      </w:pPr>
      <w:r w:rsidRPr="00CE77BE">
        <w:rPr>
          <w:rFonts w:cs="Arial"/>
          <w:lang w:val="fr-FR"/>
        </w:rPr>
        <w:t>Extraction : IGSS</w:t>
      </w:r>
    </w:p>
    <w:p w14:paraId="3BCCFB2F" w14:textId="77777777" w:rsidR="00537000" w:rsidRDefault="00537000" w:rsidP="00537000">
      <w:pPr>
        <w:pStyle w:val="ListParagraph"/>
        <w:numPr>
          <w:ilvl w:val="0"/>
          <w:numId w:val="67"/>
        </w:numPr>
        <w:ind w:left="284" w:hanging="142"/>
        <w:jc w:val="both"/>
        <w:rPr>
          <w:rFonts w:cs="Arial"/>
          <w:lang w:val="fr-FR"/>
        </w:rPr>
      </w:pPr>
      <w:r w:rsidRPr="00CE77BE">
        <w:rPr>
          <w:rFonts w:cs="Arial"/>
          <w:lang w:val="fr-FR"/>
        </w:rPr>
        <w:t>Traitement : ObSanté</w:t>
      </w:r>
    </w:p>
    <w:p w14:paraId="41CD0D9F" w14:textId="77777777" w:rsidR="00537000" w:rsidRDefault="00537000" w:rsidP="00537000">
      <w:pPr>
        <w:ind w:left="426"/>
        <w:jc w:val="both"/>
        <w:rPr>
          <w:rFonts w:cs="Arial"/>
          <w:lang w:val="fr-FR"/>
        </w:rPr>
      </w:pPr>
    </w:p>
    <w:p w14:paraId="7290548A" w14:textId="77777777" w:rsidR="00537000" w:rsidRDefault="00537000" w:rsidP="00537000">
      <w:pPr>
        <w:ind w:left="426"/>
        <w:jc w:val="both"/>
        <w:rPr>
          <w:rFonts w:cs="Arial"/>
          <w:lang w:val="fr-FR"/>
        </w:rPr>
      </w:pPr>
      <w:r w:rsidRPr="00004022">
        <w:rPr>
          <w:rFonts w:cs="Arial"/>
          <w:lang w:val="fr-FR"/>
        </w:rPr>
        <w:t xml:space="preserve">L’observation des transferts à l’étranger est réalisée à partir des autorisations de prise en charge pour des transferts à l’étranger accordées par la Caisse Nationale de Santé après avis du Contrôle Médical de la Sécurité Sociale sur la période </w:t>
      </w:r>
      <w:r>
        <w:rPr>
          <w:rFonts w:cs="Arial"/>
          <w:lang w:val="fr-FR"/>
        </w:rPr>
        <w:t>2019-2024</w:t>
      </w:r>
      <w:r w:rsidRPr="00004022">
        <w:rPr>
          <w:rFonts w:cs="Arial"/>
          <w:lang w:val="fr-FR"/>
        </w:rPr>
        <w:t>.</w:t>
      </w:r>
    </w:p>
    <w:p w14:paraId="260832C9" w14:textId="77777777" w:rsidR="00537000" w:rsidRDefault="00537000" w:rsidP="00537000">
      <w:pPr>
        <w:ind w:left="426"/>
        <w:jc w:val="both"/>
        <w:rPr>
          <w:rFonts w:cs="Arial"/>
          <w:lang w:val="fr-FR"/>
        </w:rPr>
      </w:pPr>
    </w:p>
    <w:p w14:paraId="23911E37" w14:textId="77777777" w:rsidR="00537000" w:rsidRDefault="00537000" w:rsidP="00537000">
      <w:pPr>
        <w:ind w:left="426"/>
        <w:jc w:val="both"/>
        <w:rPr>
          <w:rFonts w:cs="Arial"/>
          <w:lang w:val="fr-FR"/>
        </w:rPr>
      </w:pPr>
      <w:r w:rsidRPr="006611CB">
        <w:rPr>
          <w:rFonts w:cs="Arial"/>
          <w:lang w:val="fr-FR"/>
        </w:rPr>
        <w:t>Les données relatives à l’année 2024 doivent être considérées comme provisoires.</w:t>
      </w:r>
    </w:p>
    <w:p w14:paraId="1140EB9D" w14:textId="77777777" w:rsidR="00537000" w:rsidRPr="00004022" w:rsidRDefault="00537000" w:rsidP="00537000">
      <w:pPr>
        <w:ind w:left="426"/>
        <w:jc w:val="both"/>
        <w:rPr>
          <w:rFonts w:cs="Arial"/>
          <w:lang w:val="fr-FR"/>
        </w:rPr>
      </w:pPr>
    </w:p>
    <w:p w14:paraId="029BB264" w14:textId="77777777" w:rsidR="00537000" w:rsidRPr="00004022" w:rsidRDefault="00537000" w:rsidP="00537000">
      <w:pPr>
        <w:ind w:left="426"/>
        <w:jc w:val="both"/>
        <w:rPr>
          <w:rFonts w:cs="Arial"/>
          <w:lang w:val="fr-FR"/>
        </w:rPr>
      </w:pPr>
      <w:r w:rsidRPr="00004022">
        <w:rPr>
          <w:rFonts w:cs="Arial"/>
          <w:lang w:val="fr-FR"/>
        </w:rPr>
        <w:t>Il faut noter que le nombre d’autorisations ne correspond pas nécessairement au nombre de traitements à l’étranger car il n’y a pas de suivi permettant de vérifier si le patient a réellement bénéficié de sa prise en charge à l’étranger.</w:t>
      </w:r>
    </w:p>
    <w:p w14:paraId="2A175D54" w14:textId="77777777" w:rsidR="00537000" w:rsidRPr="00004022" w:rsidRDefault="00537000" w:rsidP="00537000">
      <w:pPr>
        <w:ind w:left="426"/>
        <w:jc w:val="both"/>
        <w:rPr>
          <w:rFonts w:cs="Arial"/>
          <w:lang w:val="fr-FR"/>
        </w:rPr>
      </w:pPr>
      <w:r w:rsidRPr="00004022">
        <w:rPr>
          <w:rFonts w:cs="Arial"/>
          <w:lang w:val="fr-FR"/>
        </w:rPr>
        <w:t xml:space="preserve">Les données concernent des personnes résidentes, relevant, directement ou par assimilation, de la protection de l’assurance maladie (assurés CNS) pour lesquelles un traitement </w:t>
      </w:r>
      <w:r w:rsidRPr="00004022">
        <w:rPr>
          <w:rFonts w:cs="Arial"/>
          <w:u w:val="single"/>
          <w:lang w:val="fr-FR"/>
        </w:rPr>
        <w:t>stationnaire</w:t>
      </w:r>
      <w:r w:rsidRPr="00004022">
        <w:rPr>
          <w:rFonts w:cs="Arial"/>
          <w:lang w:val="fr-FR"/>
        </w:rPr>
        <w:t xml:space="preserve"> à l’étranger a été demandé au moins une fois sur la période </w:t>
      </w:r>
      <w:r>
        <w:rPr>
          <w:rFonts w:cs="Arial"/>
          <w:lang w:val="fr-FR"/>
        </w:rPr>
        <w:t>2019</w:t>
      </w:r>
      <w:r w:rsidRPr="00004022">
        <w:rPr>
          <w:rFonts w:cs="Arial"/>
          <w:lang w:val="fr-FR"/>
        </w:rPr>
        <w:t>-</w:t>
      </w:r>
      <w:r>
        <w:rPr>
          <w:rFonts w:cs="Arial"/>
          <w:lang w:val="fr-FR"/>
        </w:rPr>
        <w:t xml:space="preserve">2024, </w:t>
      </w:r>
      <w:r w:rsidRPr="000C5A55">
        <w:rPr>
          <w:rFonts w:cs="Arial"/>
          <w:lang w:val="fr-FR"/>
        </w:rPr>
        <w:t>dans le cadre du règlement CEE 883/2004 (S2), respectivement dans le cadre de la directive « soins transfrontaliers ».</w:t>
      </w:r>
    </w:p>
    <w:p w14:paraId="5D641F6E" w14:textId="77777777" w:rsidR="00537000" w:rsidRPr="00004022" w:rsidRDefault="00537000" w:rsidP="00537000">
      <w:pPr>
        <w:ind w:left="426"/>
        <w:jc w:val="both"/>
        <w:rPr>
          <w:rFonts w:cs="Arial"/>
          <w:lang w:val="fr-FR"/>
        </w:rPr>
      </w:pPr>
    </w:p>
    <w:p w14:paraId="6516AD7A" w14:textId="77777777" w:rsidR="00537000" w:rsidRPr="00004022" w:rsidRDefault="00537000" w:rsidP="00537000">
      <w:pPr>
        <w:ind w:left="426"/>
        <w:jc w:val="both"/>
        <w:rPr>
          <w:rFonts w:cs="Arial"/>
          <w:lang w:val="fr-FR"/>
        </w:rPr>
      </w:pPr>
      <w:r w:rsidRPr="00004022">
        <w:rPr>
          <w:rFonts w:cs="Arial"/>
          <w:lang w:val="fr-FR"/>
        </w:rPr>
        <w:t>Le choix de limiter le périmètre aux traitements stationnaires permet de cibler les cas importants de transferts car les demandes pour des traitements ambulatoires recouvrent aussi toutes les prises en charge extrahospitalières.</w:t>
      </w:r>
    </w:p>
    <w:p w14:paraId="320A1E74" w14:textId="77777777" w:rsidR="00537000" w:rsidRPr="00004022" w:rsidRDefault="00537000" w:rsidP="00537000">
      <w:pPr>
        <w:ind w:left="426"/>
        <w:jc w:val="both"/>
        <w:rPr>
          <w:rFonts w:cs="Arial"/>
          <w:lang w:val="fr-FR"/>
        </w:rPr>
      </w:pPr>
      <w:r>
        <w:rPr>
          <w:rFonts w:cs="Arial"/>
          <w:lang w:val="fr-FR"/>
        </w:rPr>
        <w:t>À</w:t>
      </w:r>
      <w:r w:rsidRPr="00004022">
        <w:rPr>
          <w:rFonts w:cs="Arial"/>
          <w:lang w:val="fr-FR"/>
        </w:rPr>
        <w:t xml:space="preserve"> noter : un patient peut être traité dans plusieurs pays différents au cours d’une année. De même, un patient peut avoir eu plusieurs transferts au cours d’une année pour des diagnostics différents. En outre, certaines autorisations de transfert ne font pas mention d’une indication diagnostique.</w:t>
      </w:r>
    </w:p>
    <w:p w14:paraId="493F08A7" w14:textId="77777777" w:rsidR="00537000" w:rsidRDefault="00537000" w:rsidP="00537000">
      <w:pPr>
        <w:ind w:left="426"/>
        <w:jc w:val="both"/>
        <w:rPr>
          <w:rFonts w:cs="Arial"/>
          <w:lang w:val="fr-FR"/>
        </w:rPr>
      </w:pPr>
    </w:p>
    <w:p w14:paraId="123BD792" w14:textId="77777777" w:rsidR="00537000" w:rsidRDefault="00537000" w:rsidP="00537000">
      <w:pPr>
        <w:ind w:left="426"/>
        <w:jc w:val="both"/>
        <w:rPr>
          <w:rFonts w:cs="Arial"/>
          <w:lang w:val="fr-FR"/>
        </w:rPr>
      </w:pPr>
      <w:r w:rsidRPr="00EC7D16">
        <w:rPr>
          <w:rFonts w:cs="Arial"/>
          <w:lang w:val="fr-FR"/>
        </w:rPr>
        <w:t xml:space="preserve">L'année indiquée </w:t>
      </w:r>
      <w:r>
        <w:rPr>
          <w:rFonts w:cs="Arial"/>
          <w:lang w:val="fr-FR"/>
        </w:rPr>
        <w:t>correspond</w:t>
      </w:r>
      <w:r w:rsidRPr="00EC7D16">
        <w:rPr>
          <w:rFonts w:cs="Arial"/>
          <w:lang w:val="fr-FR"/>
        </w:rPr>
        <w:t xml:space="preserve"> à l'année de début de l'autorisation</w:t>
      </w:r>
      <w:r>
        <w:rPr>
          <w:rFonts w:cs="Arial"/>
          <w:lang w:val="fr-FR"/>
        </w:rPr>
        <w:t xml:space="preserve">. </w:t>
      </w:r>
      <w:r w:rsidRPr="006611CB">
        <w:rPr>
          <w:rFonts w:cs="Arial"/>
          <w:lang w:val="fr-FR"/>
        </w:rPr>
        <w:t>Ce choix introduit une rupture de série par rapport aux éditions précédentes de la Carte sanitaire, pour lesquelles les données</w:t>
      </w:r>
      <w:r>
        <w:rPr>
          <w:rFonts w:cs="Arial"/>
          <w:lang w:val="fr-FR"/>
        </w:rPr>
        <w:t xml:space="preserve"> historiquement fournies par la CNS</w:t>
      </w:r>
      <w:r w:rsidRPr="006611CB">
        <w:rPr>
          <w:rFonts w:cs="Arial"/>
          <w:lang w:val="fr-FR"/>
        </w:rPr>
        <w:t xml:space="preserve"> étaient présentées selon l’année de fin d’autorisation des formulaires S2 et de la directive « soins de santé transfrontaliers ».</w:t>
      </w:r>
      <w:r>
        <w:rPr>
          <w:rFonts w:cs="Arial"/>
          <w:lang w:val="fr-FR"/>
        </w:rPr>
        <w:t xml:space="preserve"> </w:t>
      </w:r>
    </w:p>
    <w:p w14:paraId="1CC9BAE8" w14:textId="77777777" w:rsidR="00537000" w:rsidRDefault="00537000" w:rsidP="00537000">
      <w:pPr>
        <w:ind w:left="426"/>
        <w:jc w:val="both"/>
        <w:rPr>
          <w:rFonts w:cs="Arial"/>
          <w:lang w:val="fr-FR"/>
        </w:rPr>
      </w:pPr>
      <w:r>
        <w:rPr>
          <w:rFonts w:cs="Arial"/>
          <w:lang w:val="fr-FR"/>
        </w:rPr>
        <w:t>L</w:t>
      </w:r>
      <w:r w:rsidRPr="006611CB">
        <w:rPr>
          <w:rFonts w:cs="Arial"/>
          <w:lang w:val="fr-FR"/>
        </w:rPr>
        <w:t>’année de début</w:t>
      </w:r>
      <w:r>
        <w:rPr>
          <w:rFonts w:cs="Arial"/>
          <w:lang w:val="fr-FR"/>
        </w:rPr>
        <w:t xml:space="preserve"> de l’autorisation permet de</w:t>
      </w:r>
      <w:r w:rsidRPr="006611CB">
        <w:rPr>
          <w:rFonts w:cs="Arial"/>
          <w:lang w:val="fr-FR"/>
        </w:rPr>
        <w:t xml:space="preserve"> </w:t>
      </w:r>
      <w:r>
        <w:rPr>
          <w:rFonts w:cs="Arial"/>
          <w:lang w:val="fr-FR"/>
        </w:rPr>
        <w:t>représenter</w:t>
      </w:r>
      <w:r w:rsidRPr="006611CB">
        <w:rPr>
          <w:rFonts w:cs="Arial"/>
          <w:lang w:val="fr-FR"/>
        </w:rPr>
        <w:t xml:space="preserve"> plus adéquatement le départ réel pour le soin</w:t>
      </w:r>
      <w:r w:rsidRPr="006611CB">
        <w:t xml:space="preserve"> </w:t>
      </w:r>
      <w:r>
        <w:t>puisqu’</w:t>
      </w:r>
      <w:r w:rsidRPr="006611CB">
        <w:rPr>
          <w:rFonts w:cs="Arial"/>
          <w:lang w:val="fr-FR"/>
        </w:rPr>
        <w:t>une autorisation peut souvent avoir une durée de plusieurs mois pendant laquelle le patient a droit de recourir aux soins demandés à l’étranger</w:t>
      </w:r>
      <w:r>
        <w:rPr>
          <w:rFonts w:cs="Arial"/>
          <w:lang w:val="fr-FR"/>
        </w:rPr>
        <w:t>.</w:t>
      </w:r>
    </w:p>
    <w:p w14:paraId="021418F9" w14:textId="77777777" w:rsidR="00537000" w:rsidRPr="00004022" w:rsidRDefault="00537000" w:rsidP="00537000">
      <w:pPr>
        <w:ind w:left="426"/>
        <w:jc w:val="both"/>
        <w:rPr>
          <w:rFonts w:cs="Arial"/>
          <w:lang w:val="fr-FR"/>
        </w:rPr>
      </w:pPr>
    </w:p>
    <w:p w14:paraId="7D97C9A8" w14:textId="580EAEE5" w:rsidR="00750B13" w:rsidRDefault="00537000" w:rsidP="00537000">
      <w:r w:rsidRPr="00004022">
        <w:rPr>
          <w:lang w:val="fr-FR"/>
        </w:rPr>
        <w:t>Le codage des diagnostics est réalisé selon la Classification Internationale des Maladies (CIM 10 / ICD 10) à partir de 2015.</w:t>
      </w:r>
    </w:p>
    <w:sectPr w:rsidR="00750B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47B8" w14:textId="77777777" w:rsidR="00B67B34" w:rsidRDefault="00B67B34" w:rsidP="00537000">
      <w:r>
        <w:separator/>
      </w:r>
    </w:p>
  </w:endnote>
  <w:endnote w:type="continuationSeparator" w:id="0">
    <w:p w14:paraId="701746B1" w14:textId="77777777" w:rsidR="00B67B34" w:rsidRDefault="00B67B34" w:rsidP="005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Times New Roman"/>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21D0" w14:textId="77777777" w:rsidR="00B67B34" w:rsidRDefault="00B67B34" w:rsidP="00537000">
      <w:r>
        <w:separator/>
      </w:r>
    </w:p>
  </w:footnote>
  <w:footnote w:type="continuationSeparator" w:id="0">
    <w:p w14:paraId="5B84F5EA" w14:textId="77777777" w:rsidR="00B67B34" w:rsidRDefault="00B67B34" w:rsidP="00537000">
      <w:r>
        <w:continuationSeparator/>
      </w:r>
    </w:p>
  </w:footnote>
  <w:footnote w:id="1">
    <w:p w14:paraId="46586800" w14:textId="77777777" w:rsidR="00537000" w:rsidRPr="00802FA9" w:rsidRDefault="00537000" w:rsidP="00537000">
      <w:pPr>
        <w:pStyle w:val="FootnoteText"/>
        <w:jc w:val="both"/>
        <w:rPr>
          <w:lang w:val="fr-FR"/>
        </w:rPr>
      </w:pPr>
      <w:r w:rsidRPr="00151465">
        <w:rPr>
          <w:rStyle w:val="FootnoteReference"/>
          <w:szCs w:val="16"/>
        </w:rPr>
        <w:footnoteRef/>
      </w:r>
      <w:r w:rsidRPr="00802FA9">
        <w:rPr>
          <w:lang w:val="fr-FR"/>
        </w:rPr>
        <w:t xml:space="preserve"> Définition introduite par la </w:t>
      </w:r>
      <w:hyperlink r:id="rId1" w:history="1">
        <w:r w:rsidRPr="00802FA9">
          <w:rPr>
            <w:rStyle w:val="Hyperlink"/>
            <w:szCs w:val="16"/>
          </w:rPr>
          <w:t>Loi du 29 juillet 2023 portant modification de la loi modifiée du 8 mars 2018 relative aux établissements hospitaliers et à la planification hospitalière</w:t>
        </w:r>
      </w:hyperlink>
    </w:p>
  </w:footnote>
  <w:footnote w:id="2">
    <w:p w14:paraId="489AAC8E" w14:textId="77777777" w:rsidR="00537000" w:rsidRPr="00802FA9" w:rsidRDefault="00537000" w:rsidP="00537000">
      <w:pPr>
        <w:pStyle w:val="FootnoteText"/>
        <w:jc w:val="both"/>
        <w:rPr>
          <w:lang w:val="fr-FR"/>
        </w:rPr>
      </w:pPr>
      <w:r w:rsidRPr="008A1B34">
        <w:rPr>
          <w:rStyle w:val="FootnoteReference"/>
          <w:szCs w:val="16"/>
        </w:rPr>
        <w:footnoteRef/>
      </w:r>
      <w:r w:rsidRPr="00802FA9">
        <w:rPr>
          <w:lang w:val="fr-FR"/>
        </w:rPr>
        <w:t xml:space="preserve"> Définition introduite par la </w:t>
      </w:r>
      <w:hyperlink r:id="rId2" w:history="1">
        <w:r w:rsidRPr="00802FA9">
          <w:rPr>
            <w:rStyle w:val="Hyperlink"/>
            <w:szCs w:val="16"/>
          </w:rPr>
          <w:t>Loi du 19 décembre 2025 portant modification de la loi modifiée du 8 mars 2018 relative aux établissements hospitaliers et à la planification hospitalière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31B"/>
    <w:multiLevelType w:val="hybridMultilevel"/>
    <w:tmpl w:val="DC0A0B06"/>
    <w:lvl w:ilvl="0" w:tplc="60286606">
      <w:start w:val="1"/>
      <w:numFmt w:val="bullet"/>
      <w:lvlText w:val="o"/>
      <w:lvlJc w:val="left"/>
      <w:pPr>
        <w:ind w:left="436" w:hanging="360"/>
      </w:pPr>
      <w:rPr>
        <w:rFonts w:ascii="Courier New" w:hAnsi="Courier New" w:cs="Courier New" w:hint="default"/>
        <w:sz w:val="20"/>
        <w:szCs w:val="20"/>
      </w:rPr>
    </w:lvl>
    <w:lvl w:ilvl="1" w:tplc="140C0003" w:tentative="1">
      <w:start w:val="1"/>
      <w:numFmt w:val="bullet"/>
      <w:lvlText w:val="o"/>
      <w:lvlJc w:val="left"/>
      <w:pPr>
        <w:ind w:left="1156" w:hanging="360"/>
      </w:pPr>
      <w:rPr>
        <w:rFonts w:ascii="Courier New" w:hAnsi="Courier New" w:cs="Courier New" w:hint="default"/>
      </w:rPr>
    </w:lvl>
    <w:lvl w:ilvl="2" w:tplc="140C0005" w:tentative="1">
      <w:start w:val="1"/>
      <w:numFmt w:val="bullet"/>
      <w:lvlText w:val=""/>
      <w:lvlJc w:val="left"/>
      <w:pPr>
        <w:ind w:left="1876" w:hanging="360"/>
      </w:pPr>
      <w:rPr>
        <w:rFonts w:ascii="Wingdings" w:hAnsi="Wingdings" w:hint="default"/>
      </w:rPr>
    </w:lvl>
    <w:lvl w:ilvl="3" w:tplc="140C0001" w:tentative="1">
      <w:start w:val="1"/>
      <w:numFmt w:val="bullet"/>
      <w:lvlText w:val=""/>
      <w:lvlJc w:val="left"/>
      <w:pPr>
        <w:ind w:left="2596" w:hanging="360"/>
      </w:pPr>
      <w:rPr>
        <w:rFonts w:ascii="Symbol" w:hAnsi="Symbol" w:hint="default"/>
      </w:rPr>
    </w:lvl>
    <w:lvl w:ilvl="4" w:tplc="140C0003" w:tentative="1">
      <w:start w:val="1"/>
      <w:numFmt w:val="bullet"/>
      <w:lvlText w:val="o"/>
      <w:lvlJc w:val="left"/>
      <w:pPr>
        <w:ind w:left="3316" w:hanging="360"/>
      </w:pPr>
      <w:rPr>
        <w:rFonts w:ascii="Courier New" w:hAnsi="Courier New" w:cs="Courier New" w:hint="default"/>
      </w:rPr>
    </w:lvl>
    <w:lvl w:ilvl="5" w:tplc="140C0005" w:tentative="1">
      <w:start w:val="1"/>
      <w:numFmt w:val="bullet"/>
      <w:lvlText w:val=""/>
      <w:lvlJc w:val="left"/>
      <w:pPr>
        <w:ind w:left="4036" w:hanging="360"/>
      </w:pPr>
      <w:rPr>
        <w:rFonts w:ascii="Wingdings" w:hAnsi="Wingdings" w:hint="default"/>
      </w:rPr>
    </w:lvl>
    <w:lvl w:ilvl="6" w:tplc="140C0001" w:tentative="1">
      <w:start w:val="1"/>
      <w:numFmt w:val="bullet"/>
      <w:lvlText w:val=""/>
      <w:lvlJc w:val="left"/>
      <w:pPr>
        <w:ind w:left="4756" w:hanging="360"/>
      </w:pPr>
      <w:rPr>
        <w:rFonts w:ascii="Symbol" w:hAnsi="Symbol" w:hint="default"/>
      </w:rPr>
    </w:lvl>
    <w:lvl w:ilvl="7" w:tplc="140C0003" w:tentative="1">
      <w:start w:val="1"/>
      <w:numFmt w:val="bullet"/>
      <w:lvlText w:val="o"/>
      <w:lvlJc w:val="left"/>
      <w:pPr>
        <w:ind w:left="5476" w:hanging="360"/>
      </w:pPr>
      <w:rPr>
        <w:rFonts w:ascii="Courier New" w:hAnsi="Courier New" w:cs="Courier New" w:hint="default"/>
      </w:rPr>
    </w:lvl>
    <w:lvl w:ilvl="8" w:tplc="140C0005" w:tentative="1">
      <w:start w:val="1"/>
      <w:numFmt w:val="bullet"/>
      <w:lvlText w:val=""/>
      <w:lvlJc w:val="left"/>
      <w:pPr>
        <w:ind w:left="6196" w:hanging="360"/>
      </w:pPr>
      <w:rPr>
        <w:rFonts w:ascii="Wingdings" w:hAnsi="Wingdings" w:hint="default"/>
      </w:rPr>
    </w:lvl>
  </w:abstractNum>
  <w:abstractNum w:abstractNumId="1" w15:restartNumberingAfterBreak="0">
    <w:nsid w:val="023425BC"/>
    <w:multiLevelType w:val="hybridMultilevel"/>
    <w:tmpl w:val="8B327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B4837"/>
    <w:multiLevelType w:val="hybridMultilevel"/>
    <w:tmpl w:val="C8001F76"/>
    <w:lvl w:ilvl="0" w:tplc="DA52018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06924E52"/>
    <w:multiLevelType w:val="hybridMultilevel"/>
    <w:tmpl w:val="C08E7CBC"/>
    <w:lvl w:ilvl="0" w:tplc="FA50625E">
      <w:start w:val="27"/>
      <w:numFmt w:val="bullet"/>
      <w:lvlText w:val="-"/>
      <w:lvlJc w:val="left"/>
      <w:pPr>
        <w:ind w:left="360" w:hanging="360"/>
      </w:pPr>
      <w:rPr>
        <w:rFonts w:ascii="Calibri" w:eastAsiaTheme="minorHAnsi" w:hAnsi="Calibri" w:cstheme="minorBidi" w:hint="default"/>
      </w:rPr>
    </w:lvl>
    <w:lvl w:ilvl="1" w:tplc="FA50625E">
      <w:start w:val="27"/>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117D7"/>
    <w:multiLevelType w:val="hybridMultilevel"/>
    <w:tmpl w:val="81A65DDA"/>
    <w:lvl w:ilvl="0" w:tplc="FFFFFFFF">
      <w:numFmt w:val="bullet"/>
      <w:lvlText w:val="-"/>
      <w:lvlJc w:val="left"/>
      <w:pPr>
        <w:ind w:left="436" w:hanging="360"/>
      </w:pPr>
      <w:rPr>
        <w:rFonts w:ascii="Helvetica" w:eastAsiaTheme="minorHAnsi" w:hAnsi="Helvetica" w:cs="Helvetica" w:hint="default"/>
      </w:rPr>
    </w:lvl>
    <w:lvl w:ilvl="1" w:tplc="0A466376">
      <w:start w:val="2"/>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 w15:restartNumberingAfterBreak="0">
    <w:nsid w:val="07933366"/>
    <w:multiLevelType w:val="hybridMultilevel"/>
    <w:tmpl w:val="E6F617BA"/>
    <w:lvl w:ilvl="0" w:tplc="0A466376">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080"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571BEF"/>
    <w:multiLevelType w:val="hybridMultilevel"/>
    <w:tmpl w:val="966E9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B93EAC"/>
    <w:multiLevelType w:val="hybridMultilevel"/>
    <w:tmpl w:val="001A3E06"/>
    <w:lvl w:ilvl="0" w:tplc="0A4663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42C19"/>
    <w:multiLevelType w:val="hybridMultilevel"/>
    <w:tmpl w:val="25A6C95C"/>
    <w:lvl w:ilvl="0" w:tplc="20F0F09C">
      <w:start w:val="1"/>
      <w:numFmt w:val="bullet"/>
      <w:pStyle w:val="Niveau4"/>
      <w:lvlText w:val=""/>
      <w:lvlJc w:val="left"/>
      <w:pPr>
        <w:ind w:left="461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6A48628">
      <w:start w:val="1"/>
      <w:numFmt w:val="bullet"/>
      <w:pStyle w:val="Niveau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53120"/>
    <w:multiLevelType w:val="hybridMultilevel"/>
    <w:tmpl w:val="9670DF2C"/>
    <w:lvl w:ilvl="0" w:tplc="04090001">
      <w:start w:val="1"/>
      <w:numFmt w:val="bullet"/>
      <w:lvlText w:val=""/>
      <w:lvlJc w:val="left"/>
      <w:pPr>
        <w:ind w:left="720" w:hanging="360"/>
      </w:pPr>
      <w:rPr>
        <w:rFonts w:ascii="Symbol" w:hAnsi="Symbol" w:hint="default"/>
      </w:rPr>
    </w:lvl>
    <w:lvl w:ilvl="1" w:tplc="75C224E2">
      <w:numFmt w:val="bullet"/>
      <w:lvlText w:val="-"/>
      <w:lvlJc w:val="left"/>
      <w:pPr>
        <w:ind w:left="1440" w:hanging="360"/>
      </w:pPr>
      <w:rPr>
        <w:rFonts w:ascii="Helvetica" w:eastAsiaTheme="minorHAnsi" w:hAnsi="Helvetica" w:cs="Helvetica"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0E5914B1"/>
    <w:multiLevelType w:val="hybridMultilevel"/>
    <w:tmpl w:val="85BCED46"/>
    <w:lvl w:ilvl="0" w:tplc="75C224E2">
      <w:numFmt w:val="bullet"/>
      <w:lvlText w:val="-"/>
      <w:lvlJc w:val="left"/>
      <w:pPr>
        <w:ind w:left="720" w:hanging="360"/>
      </w:pPr>
      <w:rPr>
        <w:rFonts w:ascii="Helvetica" w:eastAsiaTheme="minorHAnsi" w:hAnsi="Helvetica" w:cs="Helvetic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0EDE0C54"/>
    <w:multiLevelType w:val="hybridMultilevel"/>
    <w:tmpl w:val="9112C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B6746A"/>
    <w:multiLevelType w:val="hybridMultilevel"/>
    <w:tmpl w:val="BB0C4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54576C"/>
    <w:multiLevelType w:val="hybridMultilevel"/>
    <w:tmpl w:val="690C8256"/>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FC4E36"/>
    <w:multiLevelType w:val="hybridMultilevel"/>
    <w:tmpl w:val="5D5E41E8"/>
    <w:lvl w:ilvl="0" w:tplc="FFFFFFFF">
      <w:numFmt w:val="bullet"/>
      <w:lvlText w:val="-"/>
      <w:lvlJc w:val="left"/>
      <w:pPr>
        <w:ind w:left="720" w:hanging="360"/>
      </w:pPr>
      <w:rPr>
        <w:rFonts w:ascii="Calibri" w:eastAsiaTheme="minorHAnsi" w:hAnsi="Calibri" w:cstheme="minorBidi" w:hint="default"/>
      </w:rPr>
    </w:lvl>
    <w:lvl w:ilvl="1" w:tplc="FFFFFFFF">
      <w:start w:val="1"/>
      <w:numFmt w:val="bullet"/>
      <w:lvlText w:val=""/>
      <w:lvlJc w:val="left"/>
      <w:pPr>
        <w:ind w:left="720" w:hanging="360"/>
      </w:pPr>
      <w:rPr>
        <w:rFonts w:ascii="Symbol" w:hAnsi="Symbol" w:hint="default"/>
      </w:rPr>
    </w:lvl>
    <w:lvl w:ilvl="2" w:tplc="60286606">
      <w:start w:val="1"/>
      <w:numFmt w:val="bullet"/>
      <w:lvlText w:val="o"/>
      <w:lvlJc w:val="left"/>
      <w:pPr>
        <w:ind w:left="1146"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35206A"/>
    <w:multiLevelType w:val="hybridMultilevel"/>
    <w:tmpl w:val="1B56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B2116"/>
    <w:multiLevelType w:val="hybridMultilevel"/>
    <w:tmpl w:val="CAEAE7A0"/>
    <w:lvl w:ilvl="0" w:tplc="0409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193415FE"/>
    <w:multiLevelType w:val="hybridMultilevel"/>
    <w:tmpl w:val="C896E022"/>
    <w:lvl w:ilvl="0" w:tplc="0A4663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6660A4"/>
    <w:multiLevelType w:val="hybridMultilevel"/>
    <w:tmpl w:val="CAE07270"/>
    <w:lvl w:ilvl="0" w:tplc="75C224E2">
      <w:numFmt w:val="bullet"/>
      <w:lvlText w:val="-"/>
      <w:lvlJc w:val="left"/>
      <w:pPr>
        <w:ind w:left="720" w:hanging="360"/>
      </w:pPr>
      <w:rPr>
        <w:rFonts w:ascii="Helvetica" w:eastAsiaTheme="minorHAnsi" w:hAnsi="Helvetica" w:cs="Helvetic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1C4A78CA"/>
    <w:multiLevelType w:val="hybridMultilevel"/>
    <w:tmpl w:val="1B56F3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FB71E1"/>
    <w:multiLevelType w:val="hybridMultilevel"/>
    <w:tmpl w:val="2720693A"/>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2E2AE5"/>
    <w:multiLevelType w:val="hybridMultilevel"/>
    <w:tmpl w:val="011E5B4C"/>
    <w:lvl w:ilvl="0" w:tplc="75C224E2">
      <w:numFmt w:val="bullet"/>
      <w:lvlText w:val="-"/>
      <w:lvlJc w:val="left"/>
      <w:pPr>
        <w:ind w:left="720" w:hanging="360"/>
      </w:pPr>
      <w:rPr>
        <w:rFonts w:ascii="Helvetica" w:eastAsiaTheme="minorHAnsi" w:hAnsi="Helvetica" w:cs="Helvetic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1DF44781"/>
    <w:multiLevelType w:val="hybridMultilevel"/>
    <w:tmpl w:val="417A77C8"/>
    <w:lvl w:ilvl="0" w:tplc="0A466376">
      <w:start w:val="2"/>
      <w:numFmt w:val="bullet"/>
      <w:lvlText w:val="-"/>
      <w:lvlJc w:val="left"/>
      <w:pPr>
        <w:ind w:left="720" w:hanging="360"/>
      </w:pPr>
      <w:rPr>
        <w:rFonts w:ascii="Calibri" w:eastAsiaTheme="minorHAnsi" w:hAnsi="Calibri" w:cs="Calibri" w:hint="default"/>
      </w:rPr>
    </w:lvl>
    <w:lvl w:ilvl="1" w:tplc="B3E87C5E">
      <w:numFmt w:val="bullet"/>
      <w:lvlText w:val="•"/>
      <w:lvlJc w:val="left"/>
      <w:pPr>
        <w:ind w:left="1800" w:hanging="720"/>
      </w:pPr>
      <w:rPr>
        <w:rFonts w:ascii="Helvetica" w:eastAsiaTheme="minorHAnsi" w:hAnsi="Helvetica" w:cs="Helvetic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E445A01"/>
    <w:multiLevelType w:val="hybridMultilevel"/>
    <w:tmpl w:val="A216B03C"/>
    <w:lvl w:ilvl="0" w:tplc="6AD4D3C2">
      <w:numFmt w:val="bullet"/>
      <w:lvlText w:val="-"/>
      <w:lvlJc w:val="left"/>
      <w:pPr>
        <w:ind w:left="360" w:hanging="360"/>
      </w:pPr>
      <w:rPr>
        <w:rFonts w:ascii="Calibri" w:eastAsiaTheme="minorHAnsi" w:hAnsi="Calibri" w:cs="Calibri" w:hint="default"/>
      </w:rPr>
    </w:lvl>
    <w:lvl w:ilvl="1" w:tplc="0A466376">
      <w:start w:val="2"/>
      <w:numFmt w:val="bullet"/>
      <w:lvlText w:val="-"/>
      <w:lvlJc w:val="left"/>
      <w:pPr>
        <w:ind w:left="1080" w:hanging="360"/>
      </w:pPr>
      <w:rPr>
        <w:rFonts w:ascii="Calibri" w:eastAsiaTheme="minorHAnsi" w:hAnsi="Calibri" w:cs="Calibri" w:hint="default"/>
      </w:rPr>
    </w:lvl>
    <w:lvl w:ilvl="2" w:tplc="9856B118">
      <w:start w:val="5"/>
      <w:numFmt w:val="bullet"/>
      <w:lvlText w:val="-"/>
      <w:lvlJc w:val="left"/>
      <w:pPr>
        <w:ind w:left="1800" w:hanging="360"/>
      </w:pPr>
      <w:rPr>
        <w:rFonts w:ascii="Calibri" w:eastAsiaTheme="minorHAnsi" w:hAnsi="Calibri" w:cstheme="minorBidi" w:hint="default"/>
      </w:rPr>
    </w:lvl>
    <w:lvl w:ilvl="3" w:tplc="046E0001" w:tentative="1">
      <w:start w:val="1"/>
      <w:numFmt w:val="bullet"/>
      <w:lvlText w:val=""/>
      <w:lvlJc w:val="left"/>
      <w:pPr>
        <w:ind w:left="2520" w:hanging="360"/>
      </w:pPr>
      <w:rPr>
        <w:rFonts w:ascii="Symbol" w:hAnsi="Symbol" w:hint="default"/>
      </w:rPr>
    </w:lvl>
    <w:lvl w:ilvl="4" w:tplc="046E0003" w:tentative="1">
      <w:start w:val="1"/>
      <w:numFmt w:val="bullet"/>
      <w:lvlText w:val="o"/>
      <w:lvlJc w:val="left"/>
      <w:pPr>
        <w:ind w:left="3240" w:hanging="360"/>
      </w:pPr>
      <w:rPr>
        <w:rFonts w:ascii="Courier New" w:hAnsi="Courier New" w:cs="Courier New" w:hint="default"/>
      </w:rPr>
    </w:lvl>
    <w:lvl w:ilvl="5" w:tplc="046E0005" w:tentative="1">
      <w:start w:val="1"/>
      <w:numFmt w:val="bullet"/>
      <w:lvlText w:val=""/>
      <w:lvlJc w:val="left"/>
      <w:pPr>
        <w:ind w:left="3960" w:hanging="360"/>
      </w:pPr>
      <w:rPr>
        <w:rFonts w:ascii="Wingdings" w:hAnsi="Wingdings" w:hint="default"/>
      </w:rPr>
    </w:lvl>
    <w:lvl w:ilvl="6" w:tplc="046E0001" w:tentative="1">
      <w:start w:val="1"/>
      <w:numFmt w:val="bullet"/>
      <w:lvlText w:val=""/>
      <w:lvlJc w:val="left"/>
      <w:pPr>
        <w:ind w:left="4680" w:hanging="360"/>
      </w:pPr>
      <w:rPr>
        <w:rFonts w:ascii="Symbol" w:hAnsi="Symbol" w:hint="default"/>
      </w:rPr>
    </w:lvl>
    <w:lvl w:ilvl="7" w:tplc="046E0003" w:tentative="1">
      <w:start w:val="1"/>
      <w:numFmt w:val="bullet"/>
      <w:lvlText w:val="o"/>
      <w:lvlJc w:val="left"/>
      <w:pPr>
        <w:ind w:left="5400" w:hanging="360"/>
      </w:pPr>
      <w:rPr>
        <w:rFonts w:ascii="Courier New" w:hAnsi="Courier New" w:cs="Courier New" w:hint="default"/>
      </w:rPr>
    </w:lvl>
    <w:lvl w:ilvl="8" w:tplc="046E0005" w:tentative="1">
      <w:start w:val="1"/>
      <w:numFmt w:val="bullet"/>
      <w:lvlText w:val=""/>
      <w:lvlJc w:val="left"/>
      <w:pPr>
        <w:ind w:left="6120" w:hanging="360"/>
      </w:pPr>
      <w:rPr>
        <w:rFonts w:ascii="Wingdings" w:hAnsi="Wingdings" w:hint="default"/>
      </w:rPr>
    </w:lvl>
  </w:abstractNum>
  <w:abstractNum w:abstractNumId="24" w15:restartNumberingAfterBreak="0">
    <w:nsid w:val="24F03BAC"/>
    <w:multiLevelType w:val="hybridMultilevel"/>
    <w:tmpl w:val="5BA66710"/>
    <w:lvl w:ilvl="0" w:tplc="75C224E2">
      <w:numFmt w:val="bullet"/>
      <w:lvlText w:val="-"/>
      <w:lvlJc w:val="left"/>
      <w:pPr>
        <w:ind w:left="1440" w:hanging="360"/>
      </w:pPr>
      <w:rPr>
        <w:rFonts w:ascii="Helvetica" w:eastAsiaTheme="minorHAnsi" w:hAnsi="Helvetica" w:cs="Helvetica" w:hint="default"/>
        <w:color w:val="auto"/>
      </w:rPr>
    </w:lvl>
    <w:lvl w:ilvl="1" w:tplc="140C0003" w:tentative="1">
      <w:start w:val="1"/>
      <w:numFmt w:val="bullet"/>
      <w:lvlText w:val="o"/>
      <w:lvlJc w:val="left"/>
      <w:pPr>
        <w:ind w:left="2160" w:hanging="360"/>
      </w:pPr>
      <w:rPr>
        <w:rFonts w:ascii="Courier New" w:hAnsi="Courier New" w:cs="Courier New" w:hint="default"/>
      </w:rPr>
    </w:lvl>
    <w:lvl w:ilvl="2" w:tplc="140C0005" w:tentative="1">
      <w:start w:val="1"/>
      <w:numFmt w:val="bullet"/>
      <w:lvlText w:val=""/>
      <w:lvlJc w:val="left"/>
      <w:pPr>
        <w:ind w:left="2880" w:hanging="360"/>
      </w:pPr>
      <w:rPr>
        <w:rFonts w:ascii="Wingdings" w:hAnsi="Wingdings"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25" w15:restartNumberingAfterBreak="0">
    <w:nsid w:val="24FF0C35"/>
    <w:multiLevelType w:val="hybridMultilevel"/>
    <w:tmpl w:val="9112C4D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253F1B3B"/>
    <w:multiLevelType w:val="hybridMultilevel"/>
    <w:tmpl w:val="EBB647C4"/>
    <w:lvl w:ilvl="0" w:tplc="60286606">
      <w:start w:val="1"/>
      <w:numFmt w:val="bullet"/>
      <w:lvlText w:val="o"/>
      <w:lvlJc w:val="left"/>
      <w:pPr>
        <w:ind w:left="1440" w:hanging="360"/>
      </w:pPr>
      <w:rPr>
        <w:rFonts w:ascii="Courier New" w:hAnsi="Courier New" w:cs="Courier New"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26C75023"/>
    <w:multiLevelType w:val="hybridMultilevel"/>
    <w:tmpl w:val="5C9671C4"/>
    <w:lvl w:ilvl="0" w:tplc="FFFFFFFF">
      <w:numFmt w:val="bullet"/>
      <w:lvlText w:val="-"/>
      <w:lvlJc w:val="left"/>
      <w:pPr>
        <w:ind w:left="720" w:hanging="360"/>
      </w:pPr>
      <w:rPr>
        <w:rFonts w:ascii="Calibri" w:eastAsiaTheme="minorHAnsi" w:hAnsi="Calibri" w:cstheme="minorBidi" w:hint="default"/>
      </w:rPr>
    </w:lvl>
    <w:lvl w:ilvl="1" w:tplc="FFFFFFFF">
      <w:start w:val="1"/>
      <w:numFmt w:val="bullet"/>
      <w:lvlText w:val=""/>
      <w:lvlJc w:val="left"/>
      <w:pPr>
        <w:ind w:left="720" w:hanging="360"/>
      </w:pPr>
      <w:rPr>
        <w:rFonts w:ascii="Symbol" w:hAnsi="Symbol" w:hint="default"/>
      </w:rPr>
    </w:lvl>
    <w:lvl w:ilvl="2" w:tplc="60286606">
      <w:start w:val="1"/>
      <w:numFmt w:val="bullet"/>
      <w:lvlText w:val="o"/>
      <w:lvlJc w:val="left"/>
      <w:pPr>
        <w:ind w:left="1146"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7913EE"/>
    <w:multiLevelType w:val="hybridMultilevel"/>
    <w:tmpl w:val="41F00A0C"/>
    <w:lvl w:ilvl="0" w:tplc="FFFFFFFF">
      <w:start w:val="1"/>
      <w:numFmt w:val="bullet"/>
      <w:lvlText w:val=""/>
      <w:lvlJc w:val="left"/>
      <w:pPr>
        <w:ind w:left="720" w:hanging="360"/>
      </w:pPr>
      <w:rPr>
        <w:rFonts w:ascii="Symbol" w:hAnsi="Symbol" w:hint="default"/>
      </w:rPr>
    </w:lvl>
    <w:lvl w:ilvl="1" w:tplc="60286606">
      <w:start w:val="1"/>
      <w:numFmt w:val="bullet"/>
      <w:lvlText w:val="o"/>
      <w:lvlJc w:val="left"/>
      <w:pPr>
        <w:ind w:left="1146"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954C34"/>
    <w:multiLevelType w:val="hybridMultilevel"/>
    <w:tmpl w:val="8BACE6D6"/>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883664D"/>
    <w:multiLevelType w:val="hybridMultilevel"/>
    <w:tmpl w:val="0CD0C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0286606">
      <w:start w:val="1"/>
      <w:numFmt w:val="bullet"/>
      <w:lvlText w:val="o"/>
      <w:lvlJc w:val="left"/>
      <w:pPr>
        <w:ind w:left="1080" w:hanging="360"/>
      </w:pPr>
      <w:rPr>
        <w:rFonts w:ascii="Courier New" w:hAnsi="Courier New" w:cs="Courier New" w:hint="default"/>
        <w:sz w:val="20"/>
        <w:szCs w:val="2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91548C"/>
    <w:multiLevelType w:val="hybridMultilevel"/>
    <w:tmpl w:val="3482B1A2"/>
    <w:lvl w:ilvl="0" w:tplc="60286606">
      <w:start w:val="1"/>
      <w:numFmt w:val="bullet"/>
      <w:lvlText w:val="o"/>
      <w:lvlJc w:val="left"/>
      <w:pPr>
        <w:ind w:left="1146" w:hanging="360"/>
      </w:pPr>
      <w:rPr>
        <w:rFonts w:ascii="Courier New" w:hAnsi="Courier New" w:cs="Courier New" w:hint="default"/>
        <w:color w:val="auto"/>
        <w:sz w:val="20"/>
        <w:szCs w:val="20"/>
      </w:rPr>
    </w:lvl>
    <w:lvl w:ilvl="1" w:tplc="358EF9B2">
      <w:start w:val="1"/>
      <w:numFmt w:val="bullet"/>
      <w:lvlText w:val="-"/>
      <w:lvlJc w:val="left"/>
      <w:pPr>
        <w:ind w:left="1866" w:hanging="360"/>
      </w:pPr>
      <w:rPr>
        <w:rFonts w:ascii="Calibri" w:eastAsiaTheme="minorHAnsi" w:hAnsi="Calibri" w:cs="Calibri" w:hint="default"/>
        <w:color w:val="auto"/>
        <w:lang w:val="fr-LU"/>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2A541A6F"/>
    <w:multiLevelType w:val="hybridMultilevel"/>
    <w:tmpl w:val="6138F9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A69399F"/>
    <w:multiLevelType w:val="hybridMultilevel"/>
    <w:tmpl w:val="6DB8A6E6"/>
    <w:lvl w:ilvl="0" w:tplc="DA52018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2AD14D41"/>
    <w:multiLevelType w:val="hybridMultilevel"/>
    <w:tmpl w:val="209454D8"/>
    <w:lvl w:ilvl="0" w:tplc="DA520188">
      <w:numFmt w:val="bullet"/>
      <w:lvlText w:val="-"/>
      <w:lvlJc w:val="left"/>
      <w:pPr>
        <w:ind w:left="720" w:hanging="360"/>
      </w:pPr>
      <w:rPr>
        <w:rFonts w:ascii="Calibri" w:eastAsiaTheme="minorHAnsi" w:hAnsi="Calibri" w:cstheme="minorBidi" w:hint="default"/>
      </w:rPr>
    </w:lvl>
    <w:lvl w:ilvl="1" w:tplc="60286606">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DF6D68"/>
    <w:multiLevelType w:val="hybridMultilevel"/>
    <w:tmpl w:val="C928ABF8"/>
    <w:lvl w:ilvl="0" w:tplc="DA520188">
      <w:numFmt w:val="bullet"/>
      <w:lvlText w:val="-"/>
      <w:lvlJc w:val="left"/>
      <w:pPr>
        <w:ind w:left="720" w:hanging="360"/>
      </w:pPr>
      <w:rPr>
        <w:rFonts w:ascii="Calibri" w:eastAsiaTheme="minorHAnsi" w:hAnsi="Calibri" w:cstheme="minorBidi" w:hint="default"/>
      </w:rPr>
    </w:lvl>
    <w:lvl w:ilvl="1" w:tplc="DA520188">
      <w:numFmt w:val="bullet"/>
      <w:lvlText w:val="-"/>
      <w:lvlJc w:val="left"/>
      <w:pPr>
        <w:ind w:left="1440" w:hanging="360"/>
      </w:pPr>
      <w:rPr>
        <w:rFonts w:ascii="Calibri" w:eastAsiaTheme="minorHAnsi" w:hAnsi="Calibri" w:cstheme="minorBidi"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2AFB28AB"/>
    <w:multiLevelType w:val="hybridMultilevel"/>
    <w:tmpl w:val="CED430C0"/>
    <w:lvl w:ilvl="0" w:tplc="60286606">
      <w:start w:val="1"/>
      <w:numFmt w:val="bullet"/>
      <w:lvlText w:val="o"/>
      <w:lvlJc w:val="left"/>
      <w:pPr>
        <w:ind w:left="1080" w:hanging="360"/>
      </w:pPr>
      <w:rPr>
        <w:rFonts w:ascii="Courier New" w:hAnsi="Courier New" w:cs="Courier New"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C382D43"/>
    <w:multiLevelType w:val="hybridMultilevel"/>
    <w:tmpl w:val="27EE4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E3F6C80"/>
    <w:multiLevelType w:val="hybridMultilevel"/>
    <w:tmpl w:val="F4D2D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EA36747"/>
    <w:multiLevelType w:val="hybridMultilevel"/>
    <w:tmpl w:val="EEEA0C3C"/>
    <w:lvl w:ilvl="0" w:tplc="9856B118">
      <w:start w:val="5"/>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EB16A6D"/>
    <w:multiLevelType w:val="hybridMultilevel"/>
    <w:tmpl w:val="9AA407BA"/>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F797022"/>
    <w:multiLevelType w:val="hybridMultilevel"/>
    <w:tmpl w:val="FD52CF92"/>
    <w:lvl w:ilvl="0" w:tplc="9856B118">
      <w:start w:val="5"/>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1100181"/>
    <w:multiLevelType w:val="hybridMultilevel"/>
    <w:tmpl w:val="268E6E34"/>
    <w:lvl w:ilvl="0" w:tplc="9FDEB530">
      <w:numFmt w:val="bullet"/>
      <w:lvlText w:val="-"/>
      <w:lvlJc w:val="left"/>
      <w:pPr>
        <w:ind w:left="360" w:hanging="360"/>
      </w:pPr>
      <w:rPr>
        <w:rFonts w:ascii="Calibri" w:eastAsiaTheme="minorHAnsi" w:hAnsi="Calibri" w:cs="Calibri" w:hint="default"/>
      </w:rPr>
    </w:lvl>
    <w:lvl w:ilvl="1" w:tplc="0A466376">
      <w:start w:val="2"/>
      <w:numFmt w:val="bullet"/>
      <w:lvlText w:val="-"/>
      <w:lvlJc w:val="left"/>
      <w:pPr>
        <w:ind w:left="1080" w:hanging="360"/>
      </w:pPr>
      <w:rPr>
        <w:rFonts w:ascii="Calibri" w:eastAsiaTheme="minorHAnsi" w:hAnsi="Calibri" w:cs="Calibri" w:hint="default"/>
      </w:rPr>
    </w:lvl>
    <w:lvl w:ilvl="2" w:tplc="86CCD494">
      <w:numFmt w:val="bullet"/>
      <w:lvlText w:val="-"/>
      <w:lvlJc w:val="left"/>
      <w:pPr>
        <w:ind w:left="1800" w:hanging="360"/>
      </w:pPr>
      <w:rPr>
        <w:rFonts w:ascii="Calibri" w:eastAsiaTheme="minorHAnsi" w:hAnsi="Calibri" w:cs="Calibri" w:hint="default"/>
        <w:color w:val="auto"/>
        <w:sz w:val="2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2BD2909"/>
    <w:multiLevelType w:val="hybridMultilevel"/>
    <w:tmpl w:val="15129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338327D"/>
    <w:multiLevelType w:val="hybridMultilevel"/>
    <w:tmpl w:val="DFDEFFD4"/>
    <w:lvl w:ilvl="0" w:tplc="FFFFFFFF">
      <w:numFmt w:val="bullet"/>
      <w:lvlText w:val="-"/>
      <w:lvlJc w:val="left"/>
      <w:pPr>
        <w:ind w:left="720" w:hanging="360"/>
      </w:pPr>
      <w:rPr>
        <w:rFonts w:ascii="Helvetica" w:eastAsiaTheme="minorHAnsi" w:hAnsi="Helvetica" w:cs="Helvetica" w:hint="default"/>
      </w:rPr>
    </w:lvl>
    <w:lvl w:ilvl="1" w:tplc="0A466376">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3A61871"/>
    <w:multiLevelType w:val="hybridMultilevel"/>
    <w:tmpl w:val="ECDC3CA0"/>
    <w:lvl w:ilvl="0" w:tplc="0A466376">
      <w:start w:val="2"/>
      <w:numFmt w:val="bullet"/>
      <w:lvlText w:val="-"/>
      <w:lvlJc w:val="left"/>
      <w:pPr>
        <w:ind w:left="720" w:hanging="360"/>
      </w:pPr>
      <w:rPr>
        <w:rFonts w:ascii="Calibri" w:eastAsiaTheme="minorHAnsi" w:hAnsi="Calibri" w:cs="Calibri" w:hint="default"/>
        <w:color w:val="auto"/>
      </w:rPr>
    </w:lvl>
    <w:lvl w:ilvl="1" w:tplc="FFFFFFFF">
      <w:start w:val="1"/>
      <w:numFmt w:val="bullet"/>
      <w:lvlText w:val="o"/>
      <w:lvlJc w:val="left"/>
      <w:pPr>
        <w:ind w:left="1146" w:hanging="360"/>
      </w:pPr>
      <w:rPr>
        <w:rFonts w:ascii="Courier New" w:hAnsi="Courier New" w:cs="Courier New" w:hint="default"/>
        <w:sz w:val="20"/>
        <w:szCs w:val="20"/>
      </w:rPr>
    </w:lvl>
    <w:lvl w:ilvl="2" w:tplc="FFFFFFFF">
      <w:start w:val="2"/>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3D53D24"/>
    <w:multiLevelType w:val="hybridMultilevel"/>
    <w:tmpl w:val="BA724F88"/>
    <w:lvl w:ilvl="0" w:tplc="358EF9B2">
      <w:start w:val="1"/>
      <w:numFmt w:val="bullet"/>
      <w:lvlText w:val="-"/>
      <w:lvlJc w:val="left"/>
      <w:pPr>
        <w:ind w:left="720" w:hanging="360"/>
      </w:pPr>
      <w:rPr>
        <w:rFonts w:ascii="Calibri" w:eastAsiaTheme="minorHAnsi" w:hAnsi="Calibri" w:cs="Calibri" w:hint="default"/>
        <w:color w:val="auto"/>
        <w:lang w:val="fr-LU"/>
      </w:rPr>
    </w:lvl>
    <w:lvl w:ilvl="1" w:tplc="0A466376">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6D7876"/>
    <w:multiLevelType w:val="hybridMultilevel"/>
    <w:tmpl w:val="336885FA"/>
    <w:lvl w:ilvl="0" w:tplc="9856B11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54E3348"/>
    <w:multiLevelType w:val="hybridMultilevel"/>
    <w:tmpl w:val="1EE20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63957D9"/>
    <w:multiLevelType w:val="hybridMultilevel"/>
    <w:tmpl w:val="49723108"/>
    <w:lvl w:ilvl="0" w:tplc="FFFFFFFF">
      <w:start w:val="1"/>
      <w:numFmt w:val="bullet"/>
      <w:lvlText w:val=""/>
      <w:lvlJc w:val="left"/>
      <w:pPr>
        <w:ind w:left="720" w:hanging="360"/>
      </w:pPr>
      <w:rPr>
        <w:rFonts w:ascii="Symbol" w:hAnsi="Symbol" w:hint="default"/>
        <w:color w:val="auto"/>
      </w:rPr>
    </w:lvl>
    <w:lvl w:ilvl="1" w:tplc="0A466376">
      <w:start w:val="2"/>
      <w:numFmt w:val="bullet"/>
      <w:lvlText w:val="-"/>
      <w:lvlJc w:val="left"/>
      <w:pPr>
        <w:ind w:left="720" w:hanging="360"/>
      </w:pPr>
      <w:rPr>
        <w:rFonts w:ascii="Calibri" w:eastAsiaTheme="minorHAnsi" w:hAnsi="Calibri" w:cs="Calibri" w:hint="default"/>
      </w:rPr>
    </w:lvl>
    <w:lvl w:ilvl="2" w:tplc="FFFFFFFF">
      <w:start w:val="2"/>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6702047"/>
    <w:multiLevelType w:val="hybridMultilevel"/>
    <w:tmpl w:val="EFA881AC"/>
    <w:lvl w:ilvl="0" w:tplc="DA52018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1" w15:restartNumberingAfterBreak="0">
    <w:nsid w:val="3681258E"/>
    <w:multiLevelType w:val="hybridMultilevel"/>
    <w:tmpl w:val="85D00C1C"/>
    <w:lvl w:ilvl="0" w:tplc="FFFFFFFF">
      <w:start w:val="1"/>
      <w:numFmt w:val="bullet"/>
      <w:lvlText w:val=""/>
      <w:lvlJc w:val="left"/>
      <w:pPr>
        <w:ind w:left="360" w:hanging="360"/>
      </w:pPr>
      <w:rPr>
        <w:rFonts w:ascii="Symbol" w:hAnsi="Symbol" w:hint="default"/>
        <w:color w:val="auto"/>
        <w:sz w:val="22"/>
        <w:szCs w:val="22"/>
      </w:rPr>
    </w:lvl>
    <w:lvl w:ilvl="1" w:tplc="60286606">
      <w:start w:val="1"/>
      <w:numFmt w:val="bullet"/>
      <w:lvlText w:val="o"/>
      <w:lvlJc w:val="left"/>
      <w:pPr>
        <w:ind w:left="1080" w:hanging="360"/>
      </w:pPr>
      <w:rPr>
        <w:rFonts w:ascii="Courier New" w:hAnsi="Courier New" w:cs="Courier New" w:hint="default"/>
        <w:sz w:val="20"/>
        <w:szCs w:val="20"/>
      </w:rPr>
    </w:lvl>
    <w:lvl w:ilvl="2" w:tplc="FFFFFFFF">
      <w:start w:val="2"/>
      <w:numFmt w:val="bullet"/>
      <w:lvlText w:val="-"/>
      <w:lvlJc w:val="left"/>
      <w:pPr>
        <w:ind w:left="1800" w:hanging="36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373942D4"/>
    <w:multiLevelType w:val="hybridMultilevel"/>
    <w:tmpl w:val="49884CB0"/>
    <w:lvl w:ilvl="0" w:tplc="75C224E2">
      <w:numFmt w:val="bullet"/>
      <w:lvlText w:val="-"/>
      <w:lvlJc w:val="left"/>
      <w:pPr>
        <w:ind w:left="1080" w:hanging="360"/>
      </w:pPr>
      <w:rPr>
        <w:rFonts w:ascii="Helvetica" w:eastAsiaTheme="minorHAnsi" w:hAnsi="Helvetica" w:cs="Helvetica"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53" w15:restartNumberingAfterBreak="0">
    <w:nsid w:val="3B270D15"/>
    <w:multiLevelType w:val="hybridMultilevel"/>
    <w:tmpl w:val="C0D2CE6A"/>
    <w:lvl w:ilvl="0" w:tplc="FFFFFFFF">
      <w:start w:val="1"/>
      <w:numFmt w:val="bullet"/>
      <w:lvlText w:val=""/>
      <w:lvlJc w:val="left"/>
      <w:pPr>
        <w:ind w:left="720" w:hanging="360"/>
      </w:pPr>
      <w:rPr>
        <w:rFonts w:ascii="Symbol" w:hAnsi="Symbol" w:hint="default"/>
      </w:rPr>
    </w:lvl>
    <w:lvl w:ilvl="1" w:tplc="60286606">
      <w:start w:val="1"/>
      <w:numFmt w:val="bullet"/>
      <w:lvlText w:val="o"/>
      <w:lvlJc w:val="left"/>
      <w:pPr>
        <w:ind w:left="1080" w:hanging="360"/>
      </w:pPr>
      <w:rPr>
        <w:rFonts w:ascii="Courier New" w:hAnsi="Courier New" w:cs="Courier New" w:hint="default"/>
        <w:sz w:val="20"/>
        <w:szCs w:val="20"/>
      </w:rPr>
    </w:lvl>
    <w:lvl w:ilvl="2" w:tplc="FFFFFFFF">
      <w:start w:val="1"/>
      <w:numFmt w:val="bullet"/>
      <w:lvlText w:val="o"/>
      <w:lvlJc w:val="left"/>
      <w:pPr>
        <w:ind w:left="1080"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F986150"/>
    <w:multiLevelType w:val="hybridMultilevel"/>
    <w:tmpl w:val="E7569424"/>
    <w:lvl w:ilvl="0" w:tplc="04090001">
      <w:start w:val="1"/>
      <w:numFmt w:val="bullet"/>
      <w:lvlText w:val=""/>
      <w:lvlJc w:val="left"/>
      <w:pPr>
        <w:ind w:left="720" w:hanging="360"/>
      </w:pPr>
      <w:rPr>
        <w:rFonts w:ascii="Symbol" w:hAnsi="Symbol" w:hint="default"/>
        <w:color w:val="auto"/>
      </w:rPr>
    </w:lvl>
    <w:lvl w:ilvl="1" w:tplc="DA520188">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B91665"/>
    <w:multiLevelType w:val="hybridMultilevel"/>
    <w:tmpl w:val="0F8CE02A"/>
    <w:lvl w:ilvl="0" w:tplc="75C224E2">
      <w:numFmt w:val="bullet"/>
      <w:lvlText w:val="-"/>
      <w:lvlJc w:val="left"/>
      <w:pPr>
        <w:ind w:left="720" w:hanging="360"/>
      </w:pPr>
      <w:rPr>
        <w:rFonts w:ascii="Helvetica" w:eastAsiaTheme="minorHAnsi" w:hAnsi="Helvetica" w:cs="Helvetic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6" w15:restartNumberingAfterBreak="0">
    <w:nsid w:val="42A15D31"/>
    <w:multiLevelType w:val="hybridMultilevel"/>
    <w:tmpl w:val="B0124CF8"/>
    <w:lvl w:ilvl="0" w:tplc="75C224E2">
      <w:numFmt w:val="bullet"/>
      <w:lvlText w:val="-"/>
      <w:lvlJc w:val="left"/>
      <w:pPr>
        <w:ind w:left="720" w:hanging="360"/>
      </w:pPr>
      <w:rPr>
        <w:rFonts w:ascii="Helvetica" w:eastAsiaTheme="minorHAnsi" w:hAnsi="Helvetica" w:cs="Helvetic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E91767"/>
    <w:multiLevelType w:val="hybridMultilevel"/>
    <w:tmpl w:val="1D2C962C"/>
    <w:lvl w:ilvl="0" w:tplc="9856B118">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46823F27"/>
    <w:multiLevelType w:val="hybridMultilevel"/>
    <w:tmpl w:val="A73A0374"/>
    <w:lvl w:ilvl="0" w:tplc="FFFFFFFF">
      <w:start w:val="1"/>
      <w:numFmt w:val="bullet"/>
      <w:lvlText w:val=""/>
      <w:lvlJc w:val="left"/>
      <w:pPr>
        <w:ind w:left="720" w:hanging="360"/>
      </w:pPr>
      <w:rPr>
        <w:rFonts w:ascii="Symbol" w:hAnsi="Symbol" w:hint="default"/>
      </w:rPr>
    </w:lvl>
    <w:lvl w:ilvl="1" w:tplc="0A466376">
      <w:start w:val="2"/>
      <w:numFmt w:val="bullet"/>
      <w:lvlText w:val="-"/>
      <w:lvlJc w:val="left"/>
      <w:pPr>
        <w:ind w:left="1080" w:hanging="360"/>
      </w:pPr>
      <w:rPr>
        <w:rFonts w:ascii="Calibri" w:eastAsiaTheme="minorHAnsi" w:hAnsi="Calibri" w:cs="Calibri" w:hint="default"/>
      </w:rPr>
    </w:lvl>
    <w:lvl w:ilvl="2" w:tplc="FFFFFFFF">
      <w:start w:val="1"/>
      <w:numFmt w:val="bullet"/>
      <w:lvlText w:val="o"/>
      <w:lvlJc w:val="left"/>
      <w:pPr>
        <w:ind w:left="1080"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8105E2B"/>
    <w:multiLevelType w:val="hybridMultilevel"/>
    <w:tmpl w:val="A7F4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86D431B"/>
    <w:multiLevelType w:val="hybridMultilevel"/>
    <w:tmpl w:val="EBD4B36A"/>
    <w:lvl w:ilvl="0" w:tplc="9856B118">
      <w:start w:val="5"/>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8A77B4E"/>
    <w:multiLevelType w:val="hybridMultilevel"/>
    <w:tmpl w:val="16B48036"/>
    <w:lvl w:ilvl="0" w:tplc="FFFFFFFF">
      <w:start w:val="1"/>
      <w:numFmt w:val="bullet"/>
      <w:lvlText w:val=""/>
      <w:lvlJc w:val="left"/>
      <w:pPr>
        <w:ind w:left="720" w:hanging="360"/>
      </w:pPr>
      <w:rPr>
        <w:rFonts w:ascii="Symbol" w:hAnsi="Symbol" w:hint="default"/>
      </w:rPr>
    </w:lvl>
    <w:lvl w:ilvl="1" w:tplc="60286606">
      <w:start w:val="1"/>
      <w:numFmt w:val="bullet"/>
      <w:lvlText w:val="o"/>
      <w:lvlJc w:val="left"/>
      <w:pPr>
        <w:ind w:left="1080" w:hanging="360"/>
      </w:pPr>
      <w:rPr>
        <w:rFonts w:ascii="Courier New" w:hAnsi="Courier New" w:cs="Courier New" w:hint="default"/>
        <w:sz w:val="20"/>
        <w:szCs w:val="20"/>
      </w:rPr>
    </w:lvl>
    <w:lvl w:ilvl="2" w:tplc="FFFFFFFF">
      <w:start w:val="1"/>
      <w:numFmt w:val="bullet"/>
      <w:lvlText w:val="o"/>
      <w:lvlJc w:val="left"/>
      <w:pPr>
        <w:ind w:left="1080"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9633045"/>
    <w:multiLevelType w:val="hybridMultilevel"/>
    <w:tmpl w:val="51BE69DE"/>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3" w15:restartNumberingAfterBreak="0">
    <w:nsid w:val="4A822026"/>
    <w:multiLevelType w:val="hybridMultilevel"/>
    <w:tmpl w:val="2C0E738E"/>
    <w:lvl w:ilvl="0" w:tplc="0A466376">
      <w:start w:val="2"/>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4" w15:restartNumberingAfterBreak="0">
    <w:nsid w:val="4B5A7726"/>
    <w:multiLevelType w:val="hybridMultilevel"/>
    <w:tmpl w:val="AAE24814"/>
    <w:lvl w:ilvl="0" w:tplc="9856B11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B7C0ECC"/>
    <w:multiLevelType w:val="hybridMultilevel"/>
    <w:tmpl w:val="CA4EBC00"/>
    <w:lvl w:ilvl="0" w:tplc="9856B118">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EAE1DF3"/>
    <w:multiLevelType w:val="hybridMultilevel"/>
    <w:tmpl w:val="D7240DCC"/>
    <w:lvl w:ilvl="0" w:tplc="75C224E2">
      <w:numFmt w:val="bullet"/>
      <w:lvlText w:val="-"/>
      <w:lvlJc w:val="left"/>
      <w:pPr>
        <w:ind w:left="720" w:hanging="360"/>
      </w:pPr>
      <w:rPr>
        <w:rFonts w:ascii="Helvetica" w:eastAsiaTheme="minorHAnsi" w:hAnsi="Helvetica" w:cs="Helvetic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07264F9"/>
    <w:multiLevelType w:val="hybridMultilevel"/>
    <w:tmpl w:val="D0106B74"/>
    <w:lvl w:ilvl="0" w:tplc="9856B11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11423B5"/>
    <w:multiLevelType w:val="hybridMultilevel"/>
    <w:tmpl w:val="FEEAF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4B326BD"/>
    <w:multiLevelType w:val="hybridMultilevel"/>
    <w:tmpl w:val="A2447E4E"/>
    <w:lvl w:ilvl="0" w:tplc="9856B118">
      <w:start w:val="5"/>
      <w:numFmt w:val="bullet"/>
      <w:lvlText w:val="-"/>
      <w:lvlJc w:val="left"/>
      <w:pPr>
        <w:ind w:left="720" w:hanging="360"/>
      </w:pPr>
      <w:rPr>
        <w:rFonts w:ascii="Calibri" w:eastAsiaTheme="minorHAnsi" w:hAnsi="Calibri" w:cstheme="minorBidi" w:hint="default"/>
      </w:rPr>
    </w:lvl>
    <w:lvl w:ilvl="1" w:tplc="9856B118">
      <w:start w:val="5"/>
      <w:numFmt w:val="bullet"/>
      <w:lvlText w:val="-"/>
      <w:lvlJc w:val="left"/>
      <w:pPr>
        <w:ind w:left="72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4DE0BC2"/>
    <w:multiLevelType w:val="hybridMultilevel"/>
    <w:tmpl w:val="975897BA"/>
    <w:lvl w:ilvl="0" w:tplc="DA52018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1" w15:restartNumberingAfterBreak="0">
    <w:nsid w:val="572A2A8F"/>
    <w:multiLevelType w:val="hybridMultilevel"/>
    <w:tmpl w:val="6EFACE5A"/>
    <w:lvl w:ilvl="0" w:tplc="DA52018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579116F1"/>
    <w:multiLevelType w:val="hybridMultilevel"/>
    <w:tmpl w:val="075EEC66"/>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92F2C55"/>
    <w:multiLevelType w:val="hybridMultilevel"/>
    <w:tmpl w:val="E5CA0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98A4C59"/>
    <w:multiLevelType w:val="hybridMultilevel"/>
    <w:tmpl w:val="72C8FE08"/>
    <w:lvl w:ilvl="0" w:tplc="60286606">
      <w:start w:val="1"/>
      <w:numFmt w:val="bullet"/>
      <w:lvlText w:val="o"/>
      <w:lvlJc w:val="left"/>
      <w:pPr>
        <w:ind w:left="1440" w:hanging="360"/>
      </w:pPr>
      <w:rPr>
        <w:rFonts w:ascii="Courier New" w:hAnsi="Courier New" w:cs="Courier New" w:hint="default"/>
        <w:sz w:val="20"/>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5AF3743E"/>
    <w:multiLevelType w:val="hybridMultilevel"/>
    <w:tmpl w:val="F224CDF2"/>
    <w:lvl w:ilvl="0" w:tplc="0A4663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E6107E7"/>
    <w:multiLevelType w:val="multilevel"/>
    <w:tmpl w:val="D7125D56"/>
    <w:lvl w:ilvl="0">
      <w:start w:val="1"/>
      <w:numFmt w:val="decimal"/>
      <w:pStyle w:val="Niveau1"/>
      <w:lvlText w:val="%1."/>
      <w:lvlJc w:val="left"/>
      <w:pPr>
        <w:ind w:left="1353" w:hanging="360"/>
      </w:pPr>
    </w:lvl>
    <w:lvl w:ilvl="1">
      <w:start w:val="1"/>
      <w:numFmt w:val="decimal"/>
      <w:pStyle w:val="Niveau2"/>
      <w:lvlText w:val="%1.%2."/>
      <w:lvlJc w:val="left"/>
      <w:pPr>
        <w:ind w:left="1785" w:hanging="432"/>
      </w:pPr>
    </w:lvl>
    <w:lvl w:ilvl="2">
      <w:start w:val="1"/>
      <w:numFmt w:val="decimal"/>
      <w:pStyle w:val="Newniveau3"/>
      <w:lvlText w:val="%1.%2.%3."/>
      <w:lvlJc w:val="left"/>
      <w:pPr>
        <w:ind w:left="3198" w:hanging="504"/>
      </w:pPr>
      <w:rPr>
        <w:specVanish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7" w15:restartNumberingAfterBreak="0">
    <w:nsid w:val="5F8703EF"/>
    <w:multiLevelType w:val="hybridMultilevel"/>
    <w:tmpl w:val="DBB2D98C"/>
    <w:lvl w:ilvl="0" w:tplc="9856B118">
      <w:start w:val="5"/>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FB01B51"/>
    <w:multiLevelType w:val="hybridMultilevel"/>
    <w:tmpl w:val="8536D788"/>
    <w:lvl w:ilvl="0" w:tplc="FFFFFFFF">
      <w:start w:val="5"/>
      <w:numFmt w:val="bullet"/>
      <w:lvlText w:val="-"/>
      <w:lvlJc w:val="left"/>
      <w:pPr>
        <w:ind w:left="720" w:hanging="360"/>
      </w:pPr>
      <w:rPr>
        <w:rFonts w:ascii="Calibri" w:eastAsiaTheme="minorHAnsi" w:hAnsi="Calibri" w:cstheme="minorBidi" w:hint="default"/>
      </w:rPr>
    </w:lvl>
    <w:lvl w:ilvl="1" w:tplc="9856B118">
      <w:start w:val="5"/>
      <w:numFmt w:val="bullet"/>
      <w:lvlText w:val="-"/>
      <w:lvlJc w:val="left"/>
      <w:pPr>
        <w:ind w:left="720" w:hanging="360"/>
      </w:pPr>
      <w:rPr>
        <w:rFonts w:ascii="Calibri" w:eastAsiaTheme="minorHAnsi"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0404712"/>
    <w:multiLevelType w:val="hybridMultilevel"/>
    <w:tmpl w:val="7F7AD1F2"/>
    <w:lvl w:ilvl="0" w:tplc="60286606">
      <w:start w:val="1"/>
      <w:numFmt w:val="bullet"/>
      <w:lvlText w:val="o"/>
      <w:lvlJc w:val="left"/>
      <w:pPr>
        <w:ind w:left="1080" w:hanging="360"/>
      </w:pPr>
      <w:rPr>
        <w:rFonts w:ascii="Courier New" w:hAnsi="Courier New" w:cs="Courier New"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60D46827"/>
    <w:multiLevelType w:val="hybridMultilevel"/>
    <w:tmpl w:val="E9F273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63533924"/>
    <w:multiLevelType w:val="hybridMultilevel"/>
    <w:tmpl w:val="B6BE2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3601E29"/>
    <w:multiLevelType w:val="hybridMultilevel"/>
    <w:tmpl w:val="B160260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A466376">
      <w:start w:val="2"/>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37A1306"/>
    <w:multiLevelType w:val="hybridMultilevel"/>
    <w:tmpl w:val="CAD043D8"/>
    <w:lvl w:ilvl="0" w:tplc="545011F8">
      <w:numFmt w:val="bullet"/>
      <w:lvlText w:val="-"/>
      <w:lvlJc w:val="left"/>
      <w:pPr>
        <w:ind w:left="720" w:hanging="360"/>
      </w:pPr>
      <w:rPr>
        <w:rFonts w:ascii="Calibri" w:eastAsiaTheme="minorHAnsi" w:hAnsi="Calibri" w:cs="Calibri" w:hint="default"/>
      </w:rPr>
    </w:lvl>
    <w:lvl w:ilvl="1" w:tplc="545011F8">
      <w:numFmt w:val="bullet"/>
      <w:lvlText w:val="-"/>
      <w:lvlJc w:val="left"/>
      <w:pPr>
        <w:ind w:left="1440" w:hanging="360"/>
      </w:pPr>
      <w:rPr>
        <w:rFonts w:ascii="Calibri" w:eastAsiaTheme="minorHAnsi" w:hAnsi="Calibri" w:cs="Calibri" w:hint="default"/>
      </w:rPr>
    </w:lvl>
    <w:lvl w:ilvl="2" w:tplc="545011F8">
      <w:numFmt w:val="bullet"/>
      <w:lvlText w:val="-"/>
      <w:lvlJc w:val="left"/>
      <w:pPr>
        <w:ind w:left="2160" w:hanging="360"/>
      </w:pPr>
      <w:rPr>
        <w:rFonts w:ascii="Calibri" w:eastAsiaTheme="minorHAnsi" w:hAnsi="Calibri" w:cs="Calibri" w:hint="default"/>
      </w:rPr>
    </w:lvl>
    <w:lvl w:ilvl="3" w:tplc="545011F8">
      <w:numFmt w:val="bullet"/>
      <w:lvlText w:val="-"/>
      <w:lvlJc w:val="left"/>
      <w:pPr>
        <w:ind w:left="2880" w:hanging="360"/>
      </w:pPr>
      <w:rPr>
        <w:rFonts w:ascii="Calibri" w:eastAsiaTheme="minorHAnsi" w:hAnsi="Calibri" w:cs="Calibri"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84" w15:restartNumberingAfterBreak="0">
    <w:nsid w:val="63C07AF3"/>
    <w:multiLevelType w:val="hybridMultilevel"/>
    <w:tmpl w:val="F7341B56"/>
    <w:lvl w:ilvl="0" w:tplc="75C224E2">
      <w:numFmt w:val="bullet"/>
      <w:lvlText w:val="-"/>
      <w:lvlJc w:val="left"/>
      <w:pPr>
        <w:ind w:left="720" w:hanging="360"/>
      </w:pPr>
      <w:rPr>
        <w:rFonts w:ascii="Helvetica" w:eastAsiaTheme="minorHAnsi" w:hAnsi="Helvetica" w:cs="Helvetica" w:hint="default"/>
      </w:rPr>
    </w:lvl>
    <w:lvl w:ilvl="1" w:tplc="75C224E2">
      <w:numFmt w:val="bullet"/>
      <w:lvlText w:val="-"/>
      <w:lvlJc w:val="left"/>
      <w:pPr>
        <w:ind w:left="1440" w:hanging="360"/>
      </w:pPr>
      <w:rPr>
        <w:rFonts w:ascii="Helvetica" w:eastAsiaTheme="minorHAnsi" w:hAnsi="Helvetica" w:cs="Helvetica"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5" w15:restartNumberingAfterBreak="0">
    <w:nsid w:val="65826F91"/>
    <w:multiLevelType w:val="hybridMultilevel"/>
    <w:tmpl w:val="DD58093A"/>
    <w:lvl w:ilvl="0" w:tplc="0A4663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74211EF"/>
    <w:multiLevelType w:val="hybridMultilevel"/>
    <w:tmpl w:val="B1D6EC2E"/>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75D275C"/>
    <w:multiLevelType w:val="hybridMultilevel"/>
    <w:tmpl w:val="5DE69F2A"/>
    <w:lvl w:ilvl="0" w:tplc="B1C0B7FC">
      <w:start w:val="1"/>
      <w:numFmt w:val="bullet"/>
      <w:lvlText w:val="-"/>
      <w:lvlJc w:val="left"/>
      <w:pPr>
        <w:ind w:left="720" w:hanging="360"/>
      </w:pPr>
      <w:rPr>
        <w:rFonts w:ascii="Calibri" w:eastAsia="Calibri" w:hAnsi="Calibri" w:cs="Calibri" w:hint="default"/>
        <w:color w:val="auto"/>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88" w15:restartNumberingAfterBreak="0">
    <w:nsid w:val="69CB5D46"/>
    <w:multiLevelType w:val="hybridMultilevel"/>
    <w:tmpl w:val="4B4E5EA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AAC2577"/>
    <w:multiLevelType w:val="hybridMultilevel"/>
    <w:tmpl w:val="62ACF9F2"/>
    <w:lvl w:ilvl="0" w:tplc="FFFFFFFF">
      <w:start w:val="1"/>
      <w:numFmt w:val="bullet"/>
      <w:lvlText w:val=""/>
      <w:lvlJc w:val="left"/>
      <w:pPr>
        <w:ind w:left="360" w:hanging="360"/>
      </w:pPr>
      <w:rPr>
        <w:rFonts w:ascii="Symbol" w:hAnsi="Symbol" w:hint="default"/>
        <w:color w:val="auto"/>
        <w:sz w:val="22"/>
        <w:szCs w:val="22"/>
      </w:rPr>
    </w:lvl>
    <w:lvl w:ilvl="1" w:tplc="60286606">
      <w:start w:val="1"/>
      <w:numFmt w:val="bullet"/>
      <w:lvlText w:val="o"/>
      <w:lvlJc w:val="left"/>
      <w:pPr>
        <w:ind w:left="1080" w:hanging="360"/>
      </w:pPr>
      <w:rPr>
        <w:rFonts w:ascii="Courier New" w:hAnsi="Courier New" w:cs="Courier New" w:hint="default"/>
        <w:sz w:val="20"/>
        <w:szCs w:val="20"/>
      </w:rPr>
    </w:lvl>
    <w:lvl w:ilvl="2" w:tplc="FFFFFFFF">
      <w:start w:val="2"/>
      <w:numFmt w:val="bullet"/>
      <w:lvlText w:val="-"/>
      <w:lvlJc w:val="left"/>
      <w:pPr>
        <w:ind w:left="1800" w:hanging="36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E5A4B8D"/>
    <w:multiLevelType w:val="hybridMultilevel"/>
    <w:tmpl w:val="24D8BDD0"/>
    <w:lvl w:ilvl="0" w:tplc="FFFFFFFF">
      <w:start w:val="1"/>
      <w:numFmt w:val="bullet"/>
      <w:lvlText w:val=""/>
      <w:lvlJc w:val="left"/>
      <w:pPr>
        <w:ind w:left="720" w:hanging="360"/>
      </w:pPr>
      <w:rPr>
        <w:rFonts w:ascii="Symbol" w:hAnsi="Symbol" w:hint="default"/>
      </w:rPr>
    </w:lvl>
    <w:lvl w:ilvl="1" w:tplc="60286606">
      <w:start w:val="1"/>
      <w:numFmt w:val="bullet"/>
      <w:lvlText w:val="o"/>
      <w:lvlJc w:val="left"/>
      <w:pPr>
        <w:ind w:left="1080" w:hanging="360"/>
      </w:pPr>
      <w:rPr>
        <w:rFonts w:ascii="Courier New" w:hAnsi="Courier New" w:cs="Courier New" w:hint="default"/>
        <w:sz w:val="20"/>
        <w:szCs w:val="20"/>
      </w:rPr>
    </w:lvl>
    <w:lvl w:ilvl="2" w:tplc="FFFFFFFF">
      <w:start w:val="1"/>
      <w:numFmt w:val="bullet"/>
      <w:lvlText w:val="o"/>
      <w:lvlJc w:val="left"/>
      <w:pPr>
        <w:ind w:left="1080" w:hanging="360"/>
      </w:pPr>
      <w:rPr>
        <w:rFonts w:ascii="Courier New" w:hAnsi="Courier New" w:cs="Courier New"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01B12D9"/>
    <w:multiLevelType w:val="hybridMultilevel"/>
    <w:tmpl w:val="F23A2CA8"/>
    <w:lvl w:ilvl="0" w:tplc="040C0001">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71C85629"/>
    <w:multiLevelType w:val="hybridMultilevel"/>
    <w:tmpl w:val="5072A3B6"/>
    <w:lvl w:ilvl="0" w:tplc="0A4663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33E5FED"/>
    <w:multiLevelType w:val="hybridMultilevel"/>
    <w:tmpl w:val="267A909E"/>
    <w:lvl w:ilvl="0" w:tplc="60286606">
      <w:start w:val="1"/>
      <w:numFmt w:val="bullet"/>
      <w:lvlText w:val="o"/>
      <w:lvlJc w:val="left"/>
      <w:pPr>
        <w:ind w:left="720" w:hanging="360"/>
      </w:pPr>
      <w:rPr>
        <w:rFonts w:ascii="Courier New" w:hAnsi="Courier New" w:cs="Courier New"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3695363"/>
    <w:multiLevelType w:val="hybridMultilevel"/>
    <w:tmpl w:val="58B800CC"/>
    <w:lvl w:ilvl="0" w:tplc="04090001">
      <w:start w:val="1"/>
      <w:numFmt w:val="bullet"/>
      <w:lvlText w:val=""/>
      <w:lvlJc w:val="left"/>
      <w:pPr>
        <w:ind w:left="1080" w:hanging="360"/>
      </w:pPr>
      <w:rPr>
        <w:rFonts w:ascii="Symbol" w:hAnsi="Symbol" w:hint="default"/>
      </w:rPr>
    </w:lvl>
    <w:lvl w:ilvl="1" w:tplc="60286606">
      <w:start w:val="1"/>
      <w:numFmt w:val="bullet"/>
      <w:lvlText w:val="o"/>
      <w:lvlJc w:val="left"/>
      <w:pPr>
        <w:ind w:left="1080" w:hanging="360"/>
      </w:pPr>
      <w:rPr>
        <w:rFonts w:ascii="Courier New" w:hAnsi="Courier New" w:cs="Courier New" w:hint="default"/>
        <w:sz w:val="20"/>
        <w:szCs w:val="20"/>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95" w15:restartNumberingAfterBreak="0">
    <w:nsid w:val="73EA1CC4"/>
    <w:multiLevelType w:val="hybridMultilevel"/>
    <w:tmpl w:val="69369C3A"/>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6" w15:restartNumberingAfterBreak="0">
    <w:nsid w:val="74470829"/>
    <w:multiLevelType w:val="hybridMultilevel"/>
    <w:tmpl w:val="2C725716"/>
    <w:lvl w:ilvl="0" w:tplc="0A46637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46D471B"/>
    <w:multiLevelType w:val="hybridMultilevel"/>
    <w:tmpl w:val="0840FF44"/>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FFFFFFFF">
      <w:start w:val="2"/>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5B87718"/>
    <w:multiLevelType w:val="hybridMultilevel"/>
    <w:tmpl w:val="4ED6F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5DE1BB0"/>
    <w:multiLevelType w:val="hybridMultilevel"/>
    <w:tmpl w:val="DEF4B41A"/>
    <w:lvl w:ilvl="0" w:tplc="FFFFFFFF">
      <w:start w:val="1"/>
      <w:numFmt w:val="bullet"/>
      <w:lvlText w:val=""/>
      <w:lvlJc w:val="left"/>
      <w:pPr>
        <w:ind w:left="360" w:hanging="360"/>
      </w:pPr>
      <w:rPr>
        <w:rFonts w:ascii="Symbol" w:hAnsi="Symbol" w:hint="default"/>
        <w:color w:val="auto"/>
        <w:sz w:val="22"/>
        <w:szCs w:val="22"/>
      </w:rPr>
    </w:lvl>
    <w:lvl w:ilvl="1" w:tplc="040C0001">
      <w:start w:val="1"/>
      <w:numFmt w:val="bullet"/>
      <w:lvlText w:val=""/>
      <w:lvlJc w:val="left"/>
      <w:pPr>
        <w:ind w:left="1080" w:hanging="360"/>
      </w:pPr>
      <w:rPr>
        <w:rFonts w:ascii="Symbol" w:hAnsi="Symbol" w:hint="default"/>
      </w:rPr>
    </w:lvl>
    <w:lvl w:ilvl="2" w:tplc="FFFFFFFF">
      <w:start w:val="2"/>
      <w:numFmt w:val="bullet"/>
      <w:lvlText w:val="-"/>
      <w:lvlJc w:val="left"/>
      <w:pPr>
        <w:ind w:left="1800" w:hanging="36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76A558FC"/>
    <w:multiLevelType w:val="hybridMultilevel"/>
    <w:tmpl w:val="CFAED920"/>
    <w:lvl w:ilvl="0" w:tplc="75C224E2">
      <w:numFmt w:val="bullet"/>
      <w:lvlText w:val="-"/>
      <w:lvlJc w:val="left"/>
      <w:pPr>
        <w:ind w:left="720" w:hanging="360"/>
      </w:pPr>
      <w:rPr>
        <w:rFonts w:ascii="Helvetica" w:eastAsiaTheme="minorHAnsi" w:hAnsi="Helvetica" w:cs="Helvetic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1" w15:restartNumberingAfterBreak="0">
    <w:nsid w:val="7A1679FD"/>
    <w:multiLevelType w:val="hybridMultilevel"/>
    <w:tmpl w:val="43322234"/>
    <w:lvl w:ilvl="0" w:tplc="C9CC3116">
      <w:numFmt w:val="bullet"/>
      <w:lvlText w:val="-"/>
      <w:lvlJc w:val="left"/>
      <w:pPr>
        <w:ind w:left="364" w:hanging="360"/>
      </w:pPr>
      <w:rPr>
        <w:rFonts w:ascii="Calibri" w:eastAsiaTheme="minorHAnsi" w:hAnsi="Calibri" w:cs="Calibri" w:hint="default"/>
      </w:rPr>
    </w:lvl>
    <w:lvl w:ilvl="1" w:tplc="86CCD494">
      <w:numFmt w:val="bullet"/>
      <w:lvlText w:val="-"/>
      <w:lvlJc w:val="left"/>
      <w:pPr>
        <w:ind w:left="1084" w:hanging="360"/>
      </w:pPr>
      <w:rPr>
        <w:rFonts w:ascii="Calibri" w:eastAsiaTheme="minorHAnsi" w:hAnsi="Calibri" w:cs="Calibri" w:hint="default"/>
        <w:color w:val="auto"/>
        <w:sz w:val="22"/>
      </w:rPr>
    </w:lvl>
    <w:lvl w:ilvl="2" w:tplc="463AAADE">
      <w:start w:val="1"/>
      <w:numFmt w:val="bullet"/>
      <w:lvlText w:val=""/>
      <w:lvlJc w:val="left"/>
      <w:pPr>
        <w:ind w:left="1804" w:hanging="360"/>
      </w:pPr>
      <w:rPr>
        <w:rFonts w:ascii="Wingdings" w:hAnsi="Wingdings" w:hint="default"/>
        <w:color w:val="C00000"/>
        <w:sz w:val="32"/>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02" w15:restartNumberingAfterBreak="0">
    <w:nsid w:val="7A932222"/>
    <w:multiLevelType w:val="hybridMultilevel"/>
    <w:tmpl w:val="F9805AD4"/>
    <w:lvl w:ilvl="0" w:tplc="9856B118">
      <w:start w:val="5"/>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B44335D"/>
    <w:multiLevelType w:val="hybridMultilevel"/>
    <w:tmpl w:val="F7D2C00C"/>
    <w:lvl w:ilvl="0" w:tplc="FFFFFFFF">
      <w:start w:val="1"/>
      <w:numFmt w:val="bullet"/>
      <w:lvlText w:val=""/>
      <w:lvlJc w:val="left"/>
      <w:pPr>
        <w:ind w:left="360" w:hanging="360"/>
      </w:pPr>
      <w:rPr>
        <w:rFonts w:ascii="Symbol" w:hAnsi="Symbol" w:hint="default"/>
        <w:color w:val="auto"/>
        <w:sz w:val="22"/>
        <w:szCs w:val="22"/>
      </w:rPr>
    </w:lvl>
    <w:lvl w:ilvl="1" w:tplc="040C0001">
      <w:start w:val="1"/>
      <w:numFmt w:val="bullet"/>
      <w:lvlText w:val=""/>
      <w:lvlJc w:val="left"/>
      <w:pPr>
        <w:ind w:left="1080" w:hanging="360"/>
      </w:pPr>
      <w:rPr>
        <w:rFonts w:ascii="Symbol" w:hAnsi="Symbol" w:hint="default"/>
      </w:rPr>
    </w:lvl>
    <w:lvl w:ilvl="2" w:tplc="FFFFFFFF">
      <w:start w:val="2"/>
      <w:numFmt w:val="bullet"/>
      <w:lvlText w:val="-"/>
      <w:lvlJc w:val="left"/>
      <w:pPr>
        <w:ind w:left="1800" w:hanging="36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7C0D4C90"/>
    <w:multiLevelType w:val="hybridMultilevel"/>
    <w:tmpl w:val="CEC4E504"/>
    <w:lvl w:ilvl="0" w:tplc="DA52018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5" w15:restartNumberingAfterBreak="0">
    <w:nsid w:val="7D835ED8"/>
    <w:multiLevelType w:val="hybridMultilevel"/>
    <w:tmpl w:val="FFACF29A"/>
    <w:lvl w:ilvl="0" w:tplc="FFFFFFFF">
      <w:start w:val="1"/>
      <w:numFmt w:val="bullet"/>
      <w:lvlText w:val=""/>
      <w:lvlJc w:val="left"/>
      <w:pPr>
        <w:ind w:left="720" w:hanging="360"/>
      </w:pPr>
      <w:rPr>
        <w:rFonts w:ascii="Symbol" w:hAnsi="Symbol" w:hint="default"/>
      </w:rPr>
    </w:lvl>
    <w:lvl w:ilvl="1" w:tplc="60286606">
      <w:start w:val="1"/>
      <w:numFmt w:val="bullet"/>
      <w:lvlText w:val="o"/>
      <w:lvlJc w:val="left"/>
      <w:pPr>
        <w:ind w:left="1146"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E1B1FC4"/>
    <w:multiLevelType w:val="hybridMultilevel"/>
    <w:tmpl w:val="526C8368"/>
    <w:lvl w:ilvl="0" w:tplc="6C045AE2">
      <w:start w:val="1"/>
      <w:numFmt w:val="bullet"/>
      <w:lvlText w:val=""/>
      <w:lvlJc w:val="left"/>
      <w:pPr>
        <w:ind w:left="360" w:hanging="360"/>
      </w:pPr>
      <w:rPr>
        <w:rFonts w:ascii="Symbol" w:hAnsi="Symbol" w:hint="default"/>
        <w:color w:val="auto"/>
        <w:sz w:val="22"/>
        <w:szCs w:val="22"/>
      </w:rPr>
    </w:lvl>
    <w:lvl w:ilvl="1" w:tplc="A15CB7BA">
      <w:start w:val="1"/>
      <w:numFmt w:val="bullet"/>
      <w:lvlText w:val=""/>
      <w:lvlJc w:val="left"/>
      <w:pPr>
        <w:ind w:left="1080" w:hanging="360"/>
      </w:pPr>
      <w:rPr>
        <w:rFonts w:ascii="Symbol" w:hAnsi="Symbol" w:hint="default"/>
        <w:strike w:val="0"/>
      </w:rPr>
    </w:lvl>
    <w:lvl w:ilvl="2" w:tplc="0A466376">
      <w:start w:val="2"/>
      <w:numFmt w:val="bullet"/>
      <w:lvlText w:val="-"/>
      <w:lvlJc w:val="left"/>
      <w:pPr>
        <w:ind w:left="1800" w:hanging="360"/>
      </w:pPr>
      <w:rPr>
        <w:rFonts w:ascii="Calibri" w:eastAsiaTheme="minorHAnsi" w:hAnsi="Calibri" w:cs="Calibri" w:hint="default"/>
      </w:rPr>
    </w:lvl>
    <w:lvl w:ilvl="3" w:tplc="140C000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num w:numId="1" w16cid:durableId="890576988">
    <w:abstractNumId w:val="76"/>
  </w:num>
  <w:num w:numId="2" w16cid:durableId="268271144">
    <w:abstractNumId w:val="34"/>
  </w:num>
  <w:num w:numId="3" w16cid:durableId="1193693874">
    <w:abstractNumId w:val="106"/>
  </w:num>
  <w:num w:numId="4" w16cid:durableId="1992782993">
    <w:abstractNumId w:val="42"/>
  </w:num>
  <w:num w:numId="5" w16cid:durableId="1197768315">
    <w:abstractNumId w:val="46"/>
  </w:num>
  <w:num w:numId="6" w16cid:durableId="570382836">
    <w:abstractNumId w:val="23"/>
  </w:num>
  <w:num w:numId="7" w16cid:durableId="665714706">
    <w:abstractNumId w:val="87"/>
  </w:num>
  <w:num w:numId="8" w16cid:durableId="1123772871">
    <w:abstractNumId w:val="101"/>
  </w:num>
  <w:num w:numId="9" w16cid:durableId="2024816103">
    <w:abstractNumId w:val="8"/>
  </w:num>
  <w:num w:numId="10" w16cid:durableId="6292824">
    <w:abstractNumId w:val="31"/>
  </w:num>
  <w:num w:numId="11" w16cid:durableId="1864436729">
    <w:abstractNumId w:val="3"/>
  </w:num>
  <w:num w:numId="12" w16cid:durableId="589317374">
    <w:abstractNumId w:val="15"/>
  </w:num>
  <w:num w:numId="13" w16cid:durableId="382141631">
    <w:abstractNumId w:val="71"/>
  </w:num>
  <w:num w:numId="14" w16cid:durableId="2106144070">
    <w:abstractNumId w:val="54"/>
  </w:num>
  <w:num w:numId="15" w16cid:durableId="1652639049">
    <w:abstractNumId w:val="83"/>
  </w:num>
  <w:num w:numId="16" w16cid:durableId="541213278">
    <w:abstractNumId w:val="30"/>
  </w:num>
  <w:num w:numId="17" w16cid:durableId="1331563681">
    <w:abstractNumId w:val="50"/>
  </w:num>
  <w:num w:numId="18" w16cid:durableId="486745164">
    <w:abstractNumId w:val="55"/>
  </w:num>
  <w:num w:numId="19" w16cid:durableId="793985375">
    <w:abstractNumId w:val="18"/>
  </w:num>
  <w:num w:numId="20" w16cid:durableId="1658607295">
    <w:abstractNumId w:val="16"/>
  </w:num>
  <w:num w:numId="21" w16cid:durableId="1707410916">
    <w:abstractNumId w:val="52"/>
  </w:num>
  <w:num w:numId="22" w16cid:durableId="1704938073">
    <w:abstractNumId w:val="10"/>
  </w:num>
  <w:num w:numId="23" w16cid:durableId="531000346">
    <w:abstractNumId w:val="100"/>
  </w:num>
  <w:num w:numId="24" w16cid:durableId="2107770343">
    <w:abstractNumId w:val="9"/>
  </w:num>
  <w:num w:numId="25" w16cid:durableId="7369518">
    <w:abstractNumId w:val="0"/>
  </w:num>
  <w:num w:numId="26" w16cid:durableId="1081874566">
    <w:abstractNumId w:val="94"/>
  </w:num>
  <w:num w:numId="27" w16cid:durableId="741295058">
    <w:abstractNumId w:val="21"/>
  </w:num>
  <w:num w:numId="28" w16cid:durableId="969898362">
    <w:abstractNumId w:val="2"/>
  </w:num>
  <w:num w:numId="29" w16cid:durableId="2140563283">
    <w:abstractNumId w:val="35"/>
  </w:num>
  <w:num w:numId="30" w16cid:durableId="301006961">
    <w:abstractNumId w:val="33"/>
  </w:num>
  <w:num w:numId="31" w16cid:durableId="887882154">
    <w:abstractNumId w:val="84"/>
  </w:num>
  <w:num w:numId="32" w16cid:durableId="899366246">
    <w:abstractNumId w:val="19"/>
  </w:num>
  <w:num w:numId="33" w16cid:durableId="41636377">
    <w:abstractNumId w:val="25"/>
  </w:num>
  <w:num w:numId="34" w16cid:durableId="106774389">
    <w:abstractNumId w:val="24"/>
  </w:num>
  <w:num w:numId="35" w16cid:durableId="1301375658">
    <w:abstractNumId w:val="62"/>
  </w:num>
  <w:num w:numId="36" w16cid:durableId="1134519792">
    <w:abstractNumId w:val="95"/>
  </w:num>
  <w:num w:numId="37" w16cid:durableId="1406682556">
    <w:abstractNumId w:val="104"/>
  </w:num>
  <w:num w:numId="38" w16cid:durableId="78605898">
    <w:abstractNumId w:val="70"/>
  </w:num>
  <w:num w:numId="39" w16cid:durableId="1247231238">
    <w:abstractNumId w:val="64"/>
  </w:num>
  <w:num w:numId="40" w16cid:durableId="327248761">
    <w:abstractNumId w:val="66"/>
  </w:num>
  <w:num w:numId="41" w16cid:durableId="566309889">
    <w:abstractNumId w:val="56"/>
  </w:num>
  <w:num w:numId="42" w16cid:durableId="266887290">
    <w:abstractNumId w:val="32"/>
  </w:num>
  <w:num w:numId="43" w16cid:durableId="1559053733">
    <w:abstractNumId w:val="7"/>
  </w:num>
  <w:num w:numId="44" w16cid:durableId="2023165455">
    <w:abstractNumId w:val="6"/>
  </w:num>
  <w:num w:numId="45" w16cid:durableId="744182337">
    <w:abstractNumId w:val="73"/>
  </w:num>
  <w:num w:numId="46" w16cid:durableId="1937442748">
    <w:abstractNumId w:val="98"/>
  </w:num>
  <w:num w:numId="47" w16cid:durableId="1714575019">
    <w:abstractNumId w:val="37"/>
  </w:num>
  <w:num w:numId="48" w16cid:durableId="1080564009">
    <w:abstractNumId w:val="1"/>
  </w:num>
  <w:num w:numId="49" w16cid:durableId="1238129774">
    <w:abstractNumId w:val="38"/>
  </w:num>
  <w:num w:numId="50" w16cid:durableId="791748386">
    <w:abstractNumId w:val="11"/>
  </w:num>
  <w:num w:numId="51" w16cid:durableId="1913200333">
    <w:abstractNumId w:val="67"/>
  </w:num>
  <w:num w:numId="52" w16cid:durableId="1336762782">
    <w:abstractNumId w:val="47"/>
  </w:num>
  <w:num w:numId="53" w16cid:durableId="522475208">
    <w:abstractNumId w:val="12"/>
  </w:num>
  <w:num w:numId="54" w16cid:durableId="1175143583">
    <w:abstractNumId w:val="59"/>
  </w:num>
  <w:num w:numId="55" w16cid:durableId="1789857601">
    <w:abstractNumId w:val="68"/>
  </w:num>
  <w:num w:numId="56" w16cid:durableId="1092361897">
    <w:abstractNumId w:val="81"/>
  </w:num>
  <w:num w:numId="57" w16cid:durableId="2052654831">
    <w:abstractNumId w:val="89"/>
  </w:num>
  <w:num w:numId="58" w16cid:durableId="1596477393">
    <w:abstractNumId w:val="51"/>
  </w:num>
  <w:num w:numId="59" w16cid:durableId="1370837188">
    <w:abstractNumId w:val="48"/>
  </w:num>
  <w:num w:numId="60" w16cid:durableId="614992405">
    <w:abstractNumId w:val="44"/>
  </w:num>
  <w:num w:numId="61" w16cid:durableId="937644378">
    <w:abstractNumId w:val="4"/>
  </w:num>
  <w:num w:numId="62" w16cid:durableId="1922181745">
    <w:abstractNumId w:val="99"/>
  </w:num>
  <w:num w:numId="63" w16cid:durableId="793406660">
    <w:abstractNumId w:val="103"/>
  </w:num>
  <w:num w:numId="64" w16cid:durableId="517237391">
    <w:abstractNumId w:val="43"/>
  </w:num>
  <w:num w:numId="65" w16cid:durableId="994838851">
    <w:abstractNumId w:val="91"/>
  </w:num>
  <w:num w:numId="66" w16cid:durableId="1247837795">
    <w:abstractNumId w:val="80"/>
  </w:num>
  <w:num w:numId="67" w16cid:durableId="1015618770">
    <w:abstractNumId w:val="63"/>
  </w:num>
  <w:num w:numId="68" w16cid:durableId="632640362">
    <w:abstractNumId w:val="29"/>
  </w:num>
  <w:num w:numId="69" w16cid:durableId="516316077">
    <w:abstractNumId w:val="40"/>
  </w:num>
  <w:num w:numId="70" w16cid:durableId="1139036908">
    <w:abstractNumId w:val="82"/>
  </w:num>
  <w:num w:numId="71" w16cid:durableId="1588004863">
    <w:abstractNumId w:val="45"/>
  </w:num>
  <w:num w:numId="72" w16cid:durableId="561524902">
    <w:abstractNumId w:val="20"/>
  </w:num>
  <w:num w:numId="73" w16cid:durableId="1413158142">
    <w:abstractNumId w:val="17"/>
  </w:num>
  <w:num w:numId="74" w16cid:durableId="1066149607">
    <w:abstractNumId w:val="14"/>
  </w:num>
  <w:num w:numId="75" w16cid:durableId="317925559">
    <w:abstractNumId w:val="27"/>
  </w:num>
  <w:num w:numId="76" w16cid:durableId="971907714">
    <w:abstractNumId w:val="28"/>
  </w:num>
  <w:num w:numId="77" w16cid:durableId="1532651466">
    <w:abstractNumId w:val="105"/>
  </w:num>
  <w:num w:numId="78" w16cid:durableId="488598700">
    <w:abstractNumId w:val="74"/>
  </w:num>
  <w:num w:numId="79" w16cid:durableId="1766530695">
    <w:abstractNumId w:val="36"/>
  </w:num>
  <w:num w:numId="80" w16cid:durableId="477040632">
    <w:abstractNumId w:val="75"/>
  </w:num>
  <w:num w:numId="81" w16cid:durableId="1060137053">
    <w:abstractNumId w:val="61"/>
  </w:num>
  <w:num w:numId="82" w16cid:durableId="416099230">
    <w:abstractNumId w:val="90"/>
  </w:num>
  <w:num w:numId="83" w16cid:durableId="261109442">
    <w:abstractNumId w:val="53"/>
  </w:num>
  <w:num w:numId="84" w16cid:durableId="154684120">
    <w:abstractNumId w:val="5"/>
  </w:num>
  <w:num w:numId="85" w16cid:durableId="1213157274">
    <w:abstractNumId w:val="72"/>
  </w:num>
  <w:num w:numId="86" w16cid:durableId="979379959">
    <w:abstractNumId w:val="96"/>
  </w:num>
  <w:num w:numId="87" w16cid:durableId="2112553818">
    <w:abstractNumId w:val="58"/>
  </w:num>
  <w:num w:numId="88" w16cid:durableId="1901672280">
    <w:abstractNumId w:val="88"/>
  </w:num>
  <w:num w:numId="89" w16cid:durableId="1690763730">
    <w:abstractNumId w:val="93"/>
  </w:num>
  <w:num w:numId="90" w16cid:durableId="1058555916">
    <w:abstractNumId w:val="79"/>
  </w:num>
  <w:num w:numId="91" w16cid:durableId="1322195335">
    <w:abstractNumId w:val="26"/>
  </w:num>
  <w:num w:numId="92" w16cid:durableId="1634942310">
    <w:abstractNumId w:val="49"/>
  </w:num>
  <w:num w:numId="93" w16cid:durableId="620301064">
    <w:abstractNumId w:val="86"/>
  </w:num>
  <w:num w:numId="94" w16cid:durableId="465322029">
    <w:abstractNumId w:val="13"/>
  </w:num>
  <w:num w:numId="95" w16cid:durableId="1178420110">
    <w:abstractNumId w:val="92"/>
  </w:num>
  <w:num w:numId="96" w16cid:durableId="2048527869">
    <w:abstractNumId w:val="85"/>
  </w:num>
  <w:num w:numId="97" w16cid:durableId="1379351749">
    <w:abstractNumId w:val="22"/>
  </w:num>
  <w:num w:numId="98" w16cid:durableId="751513368">
    <w:abstractNumId w:val="97"/>
  </w:num>
  <w:num w:numId="99" w16cid:durableId="317344324">
    <w:abstractNumId w:val="65"/>
  </w:num>
  <w:num w:numId="100" w16cid:durableId="685253046">
    <w:abstractNumId w:val="102"/>
  </w:num>
  <w:num w:numId="101" w16cid:durableId="1873227814">
    <w:abstractNumId w:val="69"/>
  </w:num>
  <w:num w:numId="102" w16cid:durableId="789712577">
    <w:abstractNumId w:val="78"/>
  </w:num>
  <w:num w:numId="103" w16cid:durableId="723481710">
    <w:abstractNumId w:val="41"/>
  </w:num>
  <w:num w:numId="104" w16cid:durableId="1795706603">
    <w:abstractNumId w:val="57"/>
  </w:num>
  <w:num w:numId="105" w16cid:durableId="518740793">
    <w:abstractNumId w:val="60"/>
  </w:num>
  <w:num w:numId="106" w16cid:durableId="1527593837">
    <w:abstractNumId w:val="39"/>
  </w:num>
  <w:num w:numId="107" w16cid:durableId="347102840">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00"/>
    <w:rsid w:val="0016543C"/>
    <w:rsid w:val="003B3A50"/>
    <w:rsid w:val="00537000"/>
    <w:rsid w:val="00750B13"/>
    <w:rsid w:val="00816D77"/>
    <w:rsid w:val="00B67B34"/>
    <w:rsid w:val="00E3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B0E8"/>
  <w15:chartTrackingRefBased/>
  <w15:docId w15:val="{E0D46B3D-38EF-4CB0-9E61-40402BD4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00"/>
    <w:pPr>
      <w:spacing w:after="0" w:line="240" w:lineRule="auto"/>
    </w:pPr>
    <w:rPr>
      <w:rFonts w:ascii="Helvetica" w:hAnsi="Helvetica"/>
      <w:kern w:val="0"/>
      <w:sz w:val="20"/>
      <w:szCs w:val="22"/>
      <w:lang w:val="fr-LU"/>
      <w14:ligatures w14:val="none"/>
    </w:rPr>
  </w:style>
  <w:style w:type="paragraph" w:styleId="Heading1">
    <w:name w:val="heading 1"/>
    <w:aliases w:val="ObSanté_Titre1_num"/>
    <w:basedOn w:val="Normal"/>
    <w:next w:val="Normal"/>
    <w:link w:val="Heading1Char"/>
    <w:uiPriority w:val="9"/>
    <w:qFormat/>
    <w:rsid w:val="00537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ObSanté_Titre2_num"/>
    <w:basedOn w:val="Normal"/>
    <w:next w:val="Normal"/>
    <w:link w:val="Heading2Char"/>
    <w:uiPriority w:val="9"/>
    <w:unhideWhenUsed/>
    <w:qFormat/>
    <w:rsid w:val="00537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ObSanté_Titre3_num"/>
    <w:basedOn w:val="Normal"/>
    <w:next w:val="Normal"/>
    <w:link w:val="Heading3Char"/>
    <w:uiPriority w:val="9"/>
    <w:unhideWhenUsed/>
    <w:qFormat/>
    <w:rsid w:val="00537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7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0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0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0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0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Santé_Titre1_num Char"/>
    <w:basedOn w:val="DefaultParagraphFont"/>
    <w:link w:val="Heading1"/>
    <w:uiPriority w:val="9"/>
    <w:rsid w:val="0053700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ObSanté_Titre2_num Char"/>
    <w:basedOn w:val="DefaultParagraphFont"/>
    <w:link w:val="Heading2"/>
    <w:uiPriority w:val="9"/>
    <w:rsid w:val="0053700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ObSanté_Titre3_num Char"/>
    <w:basedOn w:val="DefaultParagraphFont"/>
    <w:link w:val="Heading3"/>
    <w:uiPriority w:val="9"/>
    <w:rsid w:val="00537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7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000"/>
    <w:rPr>
      <w:rFonts w:eastAsiaTheme="majorEastAsia" w:cstheme="majorBidi"/>
      <w:color w:val="272727" w:themeColor="text1" w:themeTint="D8"/>
    </w:rPr>
  </w:style>
  <w:style w:type="paragraph" w:styleId="Title">
    <w:name w:val="Title"/>
    <w:basedOn w:val="Normal"/>
    <w:next w:val="Normal"/>
    <w:link w:val="TitleChar"/>
    <w:uiPriority w:val="10"/>
    <w:qFormat/>
    <w:rsid w:val="005370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000"/>
    <w:pPr>
      <w:spacing w:before="160"/>
      <w:jc w:val="center"/>
    </w:pPr>
    <w:rPr>
      <w:i/>
      <w:iCs/>
      <w:color w:val="404040" w:themeColor="text1" w:themeTint="BF"/>
    </w:rPr>
  </w:style>
  <w:style w:type="character" w:customStyle="1" w:styleId="QuoteChar">
    <w:name w:val="Quote Char"/>
    <w:basedOn w:val="DefaultParagraphFont"/>
    <w:link w:val="Quote"/>
    <w:uiPriority w:val="29"/>
    <w:rsid w:val="00537000"/>
    <w:rPr>
      <w:i/>
      <w:iCs/>
      <w:color w:val="404040" w:themeColor="text1" w:themeTint="BF"/>
    </w:rPr>
  </w:style>
  <w:style w:type="paragraph" w:styleId="ListParagraph">
    <w:name w:val="List Paragraph"/>
    <w:basedOn w:val="Normal"/>
    <w:uiPriority w:val="34"/>
    <w:qFormat/>
    <w:rsid w:val="00537000"/>
    <w:pPr>
      <w:ind w:left="720"/>
      <w:contextualSpacing/>
    </w:pPr>
  </w:style>
  <w:style w:type="character" w:styleId="IntenseEmphasis">
    <w:name w:val="Intense Emphasis"/>
    <w:basedOn w:val="DefaultParagraphFont"/>
    <w:uiPriority w:val="21"/>
    <w:qFormat/>
    <w:rsid w:val="00537000"/>
    <w:rPr>
      <w:i/>
      <w:iCs/>
      <w:color w:val="0F4761" w:themeColor="accent1" w:themeShade="BF"/>
    </w:rPr>
  </w:style>
  <w:style w:type="paragraph" w:styleId="IntenseQuote">
    <w:name w:val="Intense Quote"/>
    <w:basedOn w:val="Normal"/>
    <w:next w:val="Normal"/>
    <w:link w:val="IntenseQuoteChar"/>
    <w:uiPriority w:val="30"/>
    <w:qFormat/>
    <w:rsid w:val="00537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000"/>
    <w:rPr>
      <w:i/>
      <w:iCs/>
      <w:color w:val="0F4761" w:themeColor="accent1" w:themeShade="BF"/>
    </w:rPr>
  </w:style>
  <w:style w:type="character" w:styleId="IntenseReference">
    <w:name w:val="Intense Reference"/>
    <w:basedOn w:val="DefaultParagraphFont"/>
    <w:uiPriority w:val="32"/>
    <w:qFormat/>
    <w:rsid w:val="00537000"/>
    <w:rPr>
      <w:b/>
      <w:bCs/>
      <w:smallCaps/>
      <w:color w:val="0F4761" w:themeColor="accent1" w:themeShade="BF"/>
      <w:spacing w:val="5"/>
    </w:rPr>
  </w:style>
  <w:style w:type="paragraph" w:customStyle="1" w:styleId="Niveau1">
    <w:name w:val="Niveau 1"/>
    <w:basedOn w:val="Normal"/>
    <w:next w:val="Heading1"/>
    <w:link w:val="Niveau1Char"/>
    <w:autoRedefine/>
    <w:qFormat/>
    <w:rsid w:val="00537000"/>
    <w:pPr>
      <w:keepNext/>
      <w:keepLines/>
      <w:numPr>
        <w:numId w:val="1"/>
      </w:numPr>
      <w:spacing w:before="360" w:after="240" w:line="278" w:lineRule="auto"/>
      <w:outlineLvl w:val="0"/>
    </w:pPr>
    <w:rPr>
      <w:rFonts w:eastAsiaTheme="majorEastAsia" w:cstheme="majorBidi"/>
      <w:b/>
      <w:color w:val="005E60"/>
      <w:sz w:val="40"/>
      <w:szCs w:val="44"/>
      <w:lang w:val="fr-FR"/>
    </w:rPr>
  </w:style>
  <w:style w:type="character" w:customStyle="1" w:styleId="Niveau1Char">
    <w:name w:val="Niveau 1 Char"/>
    <w:basedOn w:val="DefaultParagraphFont"/>
    <w:link w:val="Niveau1"/>
    <w:rsid w:val="00537000"/>
    <w:rPr>
      <w:rFonts w:ascii="Helvetica" w:eastAsiaTheme="majorEastAsia" w:hAnsi="Helvetica" w:cstheme="majorBidi"/>
      <w:b/>
      <w:color w:val="005E60"/>
      <w:kern w:val="0"/>
      <w:sz w:val="40"/>
      <w:szCs w:val="44"/>
      <w:lang w:val="fr-FR"/>
      <w14:ligatures w14:val="none"/>
    </w:rPr>
  </w:style>
  <w:style w:type="paragraph" w:customStyle="1" w:styleId="Niveau2">
    <w:name w:val="Niveau 2"/>
    <w:basedOn w:val="Normal"/>
    <w:next w:val="Heading2"/>
    <w:link w:val="Niveau2Char"/>
    <w:autoRedefine/>
    <w:qFormat/>
    <w:rsid w:val="00537000"/>
    <w:pPr>
      <w:keepNext/>
      <w:keepLines/>
      <w:numPr>
        <w:ilvl w:val="1"/>
        <w:numId w:val="1"/>
      </w:numPr>
      <w:spacing w:before="120" w:after="120" w:line="278" w:lineRule="auto"/>
      <w:ind w:left="1786" w:hanging="431"/>
      <w:outlineLvl w:val="1"/>
    </w:pPr>
    <w:rPr>
      <w:rFonts w:eastAsiaTheme="majorEastAsia" w:cstheme="majorBidi"/>
      <w:b/>
      <w:color w:val="00892F"/>
      <w:sz w:val="28"/>
      <w:szCs w:val="36"/>
      <w:lang w:val="fr-FR"/>
    </w:rPr>
  </w:style>
  <w:style w:type="character" w:customStyle="1" w:styleId="Niveau2Char">
    <w:name w:val="Niveau 2 Char"/>
    <w:basedOn w:val="DefaultParagraphFont"/>
    <w:link w:val="Niveau2"/>
    <w:rsid w:val="00537000"/>
    <w:rPr>
      <w:rFonts w:ascii="Helvetica" w:eastAsiaTheme="majorEastAsia" w:hAnsi="Helvetica" w:cstheme="majorBidi"/>
      <w:b/>
      <w:color w:val="00892F"/>
      <w:kern w:val="0"/>
      <w:sz w:val="28"/>
      <w:szCs w:val="36"/>
      <w:lang w:val="fr-FR"/>
      <w14:ligatures w14:val="none"/>
    </w:rPr>
  </w:style>
  <w:style w:type="paragraph" w:customStyle="1" w:styleId="Niveau3">
    <w:name w:val="Niveau 3"/>
    <w:basedOn w:val="Newniveau3"/>
    <w:next w:val="Normal"/>
    <w:link w:val="Niveau3Char"/>
    <w:autoRedefine/>
    <w:qFormat/>
    <w:rsid w:val="00537000"/>
  </w:style>
  <w:style w:type="character" w:customStyle="1" w:styleId="Niveau3Char">
    <w:name w:val="Niveau 3 Char"/>
    <w:basedOn w:val="Niveau2Char"/>
    <w:link w:val="Niveau3"/>
    <w:rsid w:val="00537000"/>
    <w:rPr>
      <w:rFonts w:ascii="Helvetica" w:eastAsiaTheme="majorEastAsia" w:hAnsi="Helvetica" w:cstheme="majorBidi"/>
      <w:b/>
      <w:color w:val="79C300"/>
      <w:kern w:val="0"/>
      <w:sz w:val="28"/>
      <w:szCs w:val="96"/>
      <w:lang w:val="fr-FR"/>
      <w14:ligatures w14:val="none"/>
    </w:rPr>
  </w:style>
  <w:style w:type="table" w:styleId="TableGrid">
    <w:name w:val="Table Grid"/>
    <w:basedOn w:val="TableNormal"/>
    <w:uiPriority w:val="39"/>
    <w:rsid w:val="005370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000"/>
    <w:pPr>
      <w:tabs>
        <w:tab w:val="center" w:pos="4680"/>
        <w:tab w:val="right" w:pos="9360"/>
      </w:tabs>
    </w:pPr>
  </w:style>
  <w:style w:type="character" w:customStyle="1" w:styleId="HeaderChar">
    <w:name w:val="Header Char"/>
    <w:basedOn w:val="DefaultParagraphFont"/>
    <w:link w:val="Header"/>
    <w:uiPriority w:val="99"/>
    <w:rsid w:val="00537000"/>
    <w:rPr>
      <w:rFonts w:ascii="Helvetica" w:hAnsi="Helvetica"/>
      <w:kern w:val="0"/>
      <w:sz w:val="20"/>
      <w:szCs w:val="22"/>
      <w:lang w:val="fr-LU"/>
      <w14:ligatures w14:val="none"/>
    </w:rPr>
  </w:style>
  <w:style w:type="paragraph" w:styleId="Footer">
    <w:name w:val="footer"/>
    <w:basedOn w:val="Normal"/>
    <w:link w:val="FooterChar"/>
    <w:uiPriority w:val="99"/>
    <w:unhideWhenUsed/>
    <w:rsid w:val="00537000"/>
    <w:pPr>
      <w:tabs>
        <w:tab w:val="center" w:pos="4680"/>
        <w:tab w:val="right" w:pos="9360"/>
      </w:tabs>
    </w:pPr>
  </w:style>
  <w:style w:type="character" w:customStyle="1" w:styleId="FooterChar">
    <w:name w:val="Footer Char"/>
    <w:basedOn w:val="DefaultParagraphFont"/>
    <w:link w:val="Footer"/>
    <w:uiPriority w:val="99"/>
    <w:rsid w:val="00537000"/>
    <w:rPr>
      <w:rFonts w:ascii="Helvetica" w:hAnsi="Helvetica"/>
      <w:kern w:val="0"/>
      <w:sz w:val="20"/>
      <w:szCs w:val="22"/>
      <w:lang w:val="fr-LU"/>
      <w14:ligatures w14:val="none"/>
    </w:rPr>
  </w:style>
  <w:style w:type="character" w:styleId="Hyperlink">
    <w:name w:val="Hyperlink"/>
    <w:basedOn w:val="DefaultParagraphFont"/>
    <w:uiPriority w:val="99"/>
    <w:unhideWhenUsed/>
    <w:rsid w:val="00537000"/>
    <w:rPr>
      <w:rFonts w:cs="Helvetica"/>
      <w:color w:val="196B24" w:themeColor="accent3"/>
      <w:szCs w:val="20"/>
      <w:u w:val="single"/>
      <w:lang w:val="fr-FR"/>
    </w:rPr>
  </w:style>
  <w:style w:type="paragraph" w:styleId="TOC1">
    <w:name w:val="toc 1"/>
    <w:basedOn w:val="Normal"/>
    <w:next w:val="Normal"/>
    <w:autoRedefine/>
    <w:uiPriority w:val="39"/>
    <w:unhideWhenUsed/>
    <w:rsid w:val="00537000"/>
    <w:pPr>
      <w:pBdr>
        <w:bottom w:val="single" w:sz="4" w:space="1" w:color="009696"/>
      </w:pBdr>
      <w:tabs>
        <w:tab w:val="left" w:pos="720"/>
        <w:tab w:val="right" w:leader="dot" w:pos="9016"/>
      </w:tabs>
      <w:spacing w:after="100"/>
    </w:pPr>
    <w:rPr>
      <w:b/>
      <w:noProof/>
      <w:color w:val="196B24" w:themeColor="accent3"/>
    </w:rPr>
  </w:style>
  <w:style w:type="paragraph" w:styleId="TOC2">
    <w:name w:val="toc 2"/>
    <w:basedOn w:val="Normal"/>
    <w:next w:val="Normal"/>
    <w:autoRedefine/>
    <w:uiPriority w:val="39"/>
    <w:unhideWhenUsed/>
    <w:rsid w:val="00537000"/>
    <w:pPr>
      <w:tabs>
        <w:tab w:val="left" w:pos="960"/>
        <w:tab w:val="right" w:leader="dot" w:pos="9016"/>
      </w:tabs>
      <w:spacing w:after="100"/>
      <w:ind w:left="220"/>
    </w:pPr>
    <w:rPr>
      <w:noProof/>
      <w:color w:val="00892F"/>
    </w:rPr>
  </w:style>
  <w:style w:type="paragraph" w:styleId="TOC3">
    <w:name w:val="toc 3"/>
    <w:basedOn w:val="Normal"/>
    <w:next w:val="Normal"/>
    <w:autoRedefine/>
    <w:uiPriority w:val="39"/>
    <w:unhideWhenUsed/>
    <w:rsid w:val="00537000"/>
    <w:pPr>
      <w:spacing w:after="100"/>
      <w:ind w:left="720"/>
    </w:pPr>
    <w:rPr>
      <w:i/>
    </w:rPr>
  </w:style>
  <w:style w:type="paragraph" w:styleId="TOCHeading">
    <w:name w:val="TOC Heading"/>
    <w:basedOn w:val="Heading1"/>
    <w:next w:val="Normal"/>
    <w:uiPriority w:val="39"/>
    <w:unhideWhenUsed/>
    <w:qFormat/>
    <w:rsid w:val="00537000"/>
    <w:pPr>
      <w:numPr>
        <w:numId w:val="1"/>
      </w:numPr>
      <w:spacing w:after="240" w:line="259" w:lineRule="auto"/>
      <w:outlineLvl w:val="9"/>
    </w:pPr>
    <w:rPr>
      <w:rFonts w:ascii="Helvetica" w:hAnsi="Helvetica"/>
      <w:b/>
      <w:color w:val="005E60"/>
      <w:szCs w:val="44"/>
      <w:lang w:val="fr-FR"/>
    </w:rPr>
  </w:style>
  <w:style w:type="paragraph" w:styleId="FootnoteText">
    <w:name w:val="footnote text"/>
    <w:basedOn w:val="Normal"/>
    <w:link w:val="FootnoteTextChar"/>
    <w:uiPriority w:val="99"/>
    <w:unhideWhenUsed/>
    <w:rsid w:val="00537000"/>
    <w:rPr>
      <w:rFonts w:eastAsiaTheme="minorEastAsia"/>
      <w:color w:val="000000" w:themeColor="text1"/>
      <w:sz w:val="16"/>
      <w:szCs w:val="20"/>
      <w:lang w:val="en-US"/>
    </w:rPr>
  </w:style>
  <w:style w:type="character" w:customStyle="1" w:styleId="FootnoteTextChar">
    <w:name w:val="Footnote Text Char"/>
    <w:basedOn w:val="DefaultParagraphFont"/>
    <w:link w:val="FootnoteText"/>
    <w:uiPriority w:val="99"/>
    <w:rsid w:val="00537000"/>
    <w:rPr>
      <w:rFonts w:ascii="Helvetica" w:eastAsiaTheme="minorEastAsia" w:hAnsi="Helvetica"/>
      <w:color w:val="000000" w:themeColor="text1"/>
      <w:kern w:val="0"/>
      <w:sz w:val="16"/>
      <w:szCs w:val="20"/>
      <w14:ligatures w14:val="none"/>
    </w:rPr>
  </w:style>
  <w:style w:type="paragraph" w:styleId="Caption">
    <w:name w:val="caption"/>
    <w:basedOn w:val="Normal"/>
    <w:next w:val="Normal"/>
    <w:qFormat/>
    <w:rsid w:val="00537000"/>
    <w:pPr>
      <w:jc w:val="both"/>
    </w:pPr>
    <w:rPr>
      <w:rFonts w:eastAsia="Times New Roman" w:cs="Times New Roman"/>
      <w:b/>
      <w:bCs/>
      <w:iCs/>
      <w:color w:val="E8E8E8" w:themeColor="background2"/>
      <w:szCs w:val="20"/>
      <w:lang w:val="fr-FR"/>
    </w:rPr>
  </w:style>
  <w:style w:type="character" w:styleId="FootnoteReference">
    <w:name w:val="footnote reference"/>
    <w:basedOn w:val="DefaultParagraphFont"/>
    <w:uiPriority w:val="99"/>
    <w:semiHidden/>
    <w:unhideWhenUsed/>
    <w:rsid w:val="00537000"/>
    <w:rPr>
      <w:vertAlign w:val="superscript"/>
    </w:rPr>
  </w:style>
  <w:style w:type="paragraph" w:customStyle="1" w:styleId="Style3">
    <w:name w:val="Style3"/>
    <w:basedOn w:val="ListParagraph"/>
    <w:link w:val="Style3Char"/>
    <w:qFormat/>
    <w:rsid w:val="00537000"/>
    <w:pPr>
      <w:spacing w:line="280" w:lineRule="exact"/>
      <w:ind w:left="431" w:hanging="431"/>
    </w:pPr>
    <w:rPr>
      <w:b/>
      <w:color w:val="2C7FCE" w:themeColor="text2" w:themeTint="99"/>
      <w:sz w:val="32"/>
      <w:lang w:val="fr-CH"/>
    </w:rPr>
  </w:style>
  <w:style w:type="character" w:customStyle="1" w:styleId="Style3Char">
    <w:name w:val="Style3 Char"/>
    <w:basedOn w:val="DefaultParagraphFont"/>
    <w:link w:val="Style3"/>
    <w:rsid w:val="00537000"/>
    <w:rPr>
      <w:rFonts w:ascii="Helvetica" w:hAnsi="Helvetica"/>
      <w:b/>
      <w:color w:val="2C7FCE" w:themeColor="text2" w:themeTint="99"/>
      <w:kern w:val="0"/>
      <w:sz w:val="32"/>
      <w:szCs w:val="22"/>
      <w:lang w:val="fr-CH"/>
      <w14:ligatures w14:val="none"/>
    </w:rPr>
  </w:style>
  <w:style w:type="paragraph" w:styleId="NormalWeb">
    <w:name w:val="Normal (Web)"/>
    <w:basedOn w:val="Normal"/>
    <w:uiPriority w:val="99"/>
    <w:unhideWhenUsed/>
    <w:rsid w:val="00537000"/>
    <w:pPr>
      <w:spacing w:before="100" w:beforeAutospacing="1" w:after="100" w:afterAutospacing="1"/>
    </w:pPr>
    <w:rPr>
      <w:rFonts w:ascii="Times New Roman" w:eastAsiaTheme="minorEastAsia" w:hAnsi="Times New Roman" w:cs="Times New Roman"/>
      <w:sz w:val="24"/>
      <w:szCs w:val="24"/>
    </w:rPr>
  </w:style>
  <w:style w:type="paragraph" w:customStyle="1" w:styleId="Niveau4">
    <w:name w:val="Niveau 4"/>
    <w:basedOn w:val="Niveau3"/>
    <w:link w:val="Niveau4Char"/>
    <w:qFormat/>
    <w:rsid w:val="00537000"/>
    <w:pPr>
      <w:numPr>
        <w:numId w:val="9"/>
      </w:numPr>
      <w:ind w:left="2977"/>
    </w:pPr>
    <w:rPr>
      <w:i/>
      <w:color w:val="0E2841" w:themeColor="text2"/>
      <w:sz w:val="20"/>
      <w:szCs w:val="56"/>
    </w:rPr>
  </w:style>
  <w:style w:type="character" w:customStyle="1" w:styleId="Niveau4Char">
    <w:name w:val="Niveau 4 Char"/>
    <w:basedOn w:val="Niveau3Char"/>
    <w:link w:val="Niveau4"/>
    <w:rsid w:val="00537000"/>
    <w:rPr>
      <w:rFonts w:ascii="Helvetica" w:eastAsiaTheme="majorEastAsia" w:hAnsi="Helvetica" w:cstheme="majorBidi"/>
      <w:b/>
      <w:i/>
      <w:color w:val="0E2841" w:themeColor="text2"/>
      <w:kern w:val="0"/>
      <w:sz w:val="20"/>
      <w:szCs w:val="56"/>
      <w:lang w:val="fr-FR"/>
      <w14:ligatures w14:val="none"/>
    </w:rPr>
  </w:style>
  <w:style w:type="paragraph" w:styleId="BalloonText">
    <w:name w:val="Balloon Text"/>
    <w:basedOn w:val="Normal"/>
    <w:link w:val="BalloonTextChar"/>
    <w:uiPriority w:val="99"/>
    <w:semiHidden/>
    <w:unhideWhenUsed/>
    <w:rsid w:val="00537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000"/>
    <w:rPr>
      <w:rFonts w:ascii="Segoe UI" w:hAnsi="Segoe UI" w:cs="Segoe UI"/>
      <w:kern w:val="0"/>
      <w:sz w:val="18"/>
      <w:szCs w:val="18"/>
      <w:lang w:val="fr-LU"/>
      <w14:ligatures w14:val="none"/>
    </w:rPr>
  </w:style>
  <w:style w:type="paragraph" w:styleId="TableofFigures">
    <w:name w:val="table of figures"/>
    <w:basedOn w:val="Normal"/>
    <w:next w:val="Normal"/>
    <w:uiPriority w:val="99"/>
    <w:unhideWhenUsed/>
    <w:rsid w:val="00537000"/>
    <w:rPr>
      <w:color w:val="0E2841" w:themeColor="text2"/>
    </w:rPr>
  </w:style>
  <w:style w:type="paragraph" w:customStyle="1" w:styleId="Default">
    <w:name w:val="Default"/>
    <w:basedOn w:val="Normal"/>
    <w:rsid w:val="00537000"/>
    <w:pPr>
      <w:autoSpaceDE w:val="0"/>
      <w:autoSpaceDN w:val="0"/>
    </w:pPr>
    <w:rPr>
      <w:rFonts w:ascii="Arial" w:hAnsi="Arial" w:cs="Arial"/>
      <w:color w:val="000000"/>
      <w:sz w:val="24"/>
      <w:szCs w:val="24"/>
    </w:rPr>
  </w:style>
  <w:style w:type="paragraph" w:styleId="NoSpacing">
    <w:name w:val="No Spacing"/>
    <w:uiPriority w:val="1"/>
    <w:qFormat/>
    <w:rsid w:val="00537000"/>
    <w:pPr>
      <w:spacing w:after="0" w:line="240" w:lineRule="auto"/>
      <w:jc w:val="both"/>
    </w:pPr>
    <w:rPr>
      <w:rFonts w:ascii="Calibri" w:eastAsia="Calibri" w:hAnsi="Calibri" w:cs="Calibri-Light"/>
      <w:noProof/>
      <w:color w:val="000000"/>
      <w:kern w:val="0"/>
      <w:sz w:val="22"/>
      <w:szCs w:val="22"/>
      <w14:ligatures w14:val="none"/>
    </w:rPr>
  </w:style>
  <w:style w:type="character" w:styleId="CommentReference">
    <w:name w:val="annotation reference"/>
    <w:basedOn w:val="DefaultParagraphFont"/>
    <w:uiPriority w:val="99"/>
    <w:semiHidden/>
    <w:unhideWhenUsed/>
    <w:rsid w:val="00537000"/>
    <w:rPr>
      <w:sz w:val="16"/>
      <w:szCs w:val="16"/>
    </w:rPr>
  </w:style>
  <w:style w:type="paragraph" w:styleId="CommentText">
    <w:name w:val="annotation text"/>
    <w:aliases w:val="Notes,à noter..."/>
    <w:basedOn w:val="Normal"/>
    <w:link w:val="CommentTextChar"/>
    <w:uiPriority w:val="99"/>
    <w:unhideWhenUsed/>
    <w:rsid w:val="00537000"/>
    <w:pPr>
      <w:jc w:val="both"/>
    </w:pPr>
    <w:rPr>
      <w:i/>
      <w:color w:val="F1F1F1" w:themeColor="background2" w:themeTint="99"/>
      <w:sz w:val="16"/>
      <w:szCs w:val="20"/>
      <w:lang w:val="fr-FR"/>
    </w:rPr>
  </w:style>
  <w:style w:type="character" w:customStyle="1" w:styleId="CommentTextChar">
    <w:name w:val="Comment Text Char"/>
    <w:aliases w:val="Notes Char,à noter... Char"/>
    <w:basedOn w:val="DefaultParagraphFont"/>
    <w:link w:val="CommentText"/>
    <w:uiPriority w:val="99"/>
    <w:rsid w:val="00537000"/>
    <w:rPr>
      <w:rFonts w:ascii="Helvetica" w:hAnsi="Helvetica"/>
      <w:i/>
      <w:color w:val="F1F1F1" w:themeColor="background2" w:themeTint="99"/>
      <w:kern w:val="0"/>
      <w:sz w:val="16"/>
      <w:szCs w:val="20"/>
      <w:lang w:val="fr-FR"/>
      <w14:ligatures w14:val="none"/>
    </w:rPr>
  </w:style>
  <w:style w:type="paragraph" w:styleId="CommentSubject">
    <w:name w:val="annotation subject"/>
    <w:basedOn w:val="CommentText"/>
    <w:next w:val="CommentText"/>
    <w:link w:val="CommentSubjectChar"/>
    <w:uiPriority w:val="99"/>
    <w:semiHidden/>
    <w:unhideWhenUsed/>
    <w:rsid w:val="00537000"/>
    <w:rPr>
      <w:b/>
      <w:bCs/>
    </w:rPr>
  </w:style>
  <w:style w:type="character" w:customStyle="1" w:styleId="CommentSubjectChar">
    <w:name w:val="Comment Subject Char"/>
    <w:basedOn w:val="CommentTextChar"/>
    <w:link w:val="CommentSubject"/>
    <w:uiPriority w:val="99"/>
    <w:semiHidden/>
    <w:rsid w:val="00537000"/>
    <w:rPr>
      <w:rFonts w:ascii="Helvetica" w:hAnsi="Helvetica"/>
      <w:b/>
      <w:bCs/>
      <w:i/>
      <w:color w:val="F1F1F1" w:themeColor="background2" w:themeTint="99"/>
      <w:kern w:val="0"/>
      <w:sz w:val="16"/>
      <w:szCs w:val="20"/>
      <w:lang w:val="fr-FR"/>
      <w14:ligatures w14:val="none"/>
    </w:rPr>
  </w:style>
  <w:style w:type="paragraph" w:customStyle="1" w:styleId="Pa20">
    <w:name w:val="Pa20"/>
    <w:basedOn w:val="Normal"/>
    <w:next w:val="Normal"/>
    <w:uiPriority w:val="99"/>
    <w:rsid w:val="00537000"/>
    <w:pPr>
      <w:autoSpaceDE w:val="0"/>
      <w:autoSpaceDN w:val="0"/>
      <w:adjustRightInd w:val="0"/>
      <w:spacing w:line="201" w:lineRule="atLeast"/>
    </w:pPr>
    <w:rPr>
      <w:rFonts w:ascii="Times New Roman" w:hAnsi="Times New Roman" w:cs="Times New Roman"/>
      <w:sz w:val="24"/>
      <w:szCs w:val="24"/>
    </w:rPr>
  </w:style>
  <w:style w:type="paragraph" w:customStyle="1" w:styleId="Pa21">
    <w:name w:val="Pa21"/>
    <w:basedOn w:val="Normal"/>
    <w:next w:val="Normal"/>
    <w:uiPriority w:val="99"/>
    <w:rsid w:val="00537000"/>
    <w:pPr>
      <w:autoSpaceDE w:val="0"/>
      <w:autoSpaceDN w:val="0"/>
      <w:adjustRightInd w:val="0"/>
      <w:spacing w:line="201" w:lineRule="atLeast"/>
    </w:pPr>
    <w:rPr>
      <w:rFonts w:ascii="Times New Roman" w:hAnsi="Times New Roman" w:cs="Times New Roman"/>
      <w:sz w:val="24"/>
      <w:szCs w:val="24"/>
    </w:rPr>
  </w:style>
  <w:style w:type="paragraph" w:customStyle="1" w:styleId="Pa22">
    <w:name w:val="Pa22"/>
    <w:basedOn w:val="Normal"/>
    <w:next w:val="Normal"/>
    <w:uiPriority w:val="99"/>
    <w:rsid w:val="00537000"/>
    <w:pPr>
      <w:autoSpaceDE w:val="0"/>
      <w:autoSpaceDN w:val="0"/>
      <w:adjustRightInd w:val="0"/>
      <w:spacing w:line="201" w:lineRule="atLeast"/>
    </w:pPr>
    <w:rPr>
      <w:rFonts w:ascii="Times New Roman" w:hAnsi="Times New Roman" w:cs="Times New Roman"/>
      <w:sz w:val="24"/>
      <w:szCs w:val="24"/>
    </w:rPr>
  </w:style>
  <w:style w:type="paragraph" w:customStyle="1" w:styleId="Pa14">
    <w:name w:val="Pa14"/>
    <w:basedOn w:val="Default"/>
    <w:next w:val="Default"/>
    <w:uiPriority w:val="99"/>
    <w:rsid w:val="00537000"/>
    <w:pPr>
      <w:adjustRightInd w:val="0"/>
      <w:spacing w:line="201" w:lineRule="atLeast"/>
    </w:pPr>
    <w:rPr>
      <w:rFonts w:ascii="Times New Roman" w:hAnsi="Times New Roman" w:cs="Times New Roman"/>
      <w:color w:val="auto"/>
    </w:rPr>
  </w:style>
  <w:style w:type="paragraph" w:customStyle="1" w:styleId="Pa18">
    <w:name w:val="Pa18"/>
    <w:basedOn w:val="Default"/>
    <w:next w:val="Default"/>
    <w:uiPriority w:val="99"/>
    <w:rsid w:val="00537000"/>
    <w:pPr>
      <w:adjustRightInd w:val="0"/>
      <w:spacing w:line="201" w:lineRule="atLeast"/>
    </w:pPr>
    <w:rPr>
      <w:rFonts w:ascii="Times New Roman" w:hAnsi="Times New Roman" w:cs="Times New Roman"/>
      <w:color w:val="auto"/>
    </w:rPr>
  </w:style>
  <w:style w:type="character" w:customStyle="1" w:styleId="A10">
    <w:name w:val="A10"/>
    <w:uiPriority w:val="99"/>
    <w:rsid w:val="00537000"/>
    <w:rPr>
      <w:color w:val="000000"/>
      <w:sz w:val="20"/>
      <w:szCs w:val="20"/>
      <w:u w:val="single"/>
    </w:rPr>
  </w:style>
  <w:style w:type="paragraph" w:customStyle="1" w:styleId="Pa24">
    <w:name w:val="Pa24"/>
    <w:basedOn w:val="Default"/>
    <w:next w:val="Default"/>
    <w:uiPriority w:val="99"/>
    <w:rsid w:val="00537000"/>
    <w:pPr>
      <w:adjustRightInd w:val="0"/>
      <w:spacing w:line="201" w:lineRule="atLeast"/>
    </w:pPr>
    <w:rPr>
      <w:rFonts w:ascii="Times New Roman" w:hAnsi="Times New Roman" w:cs="Times New Roman"/>
      <w:color w:val="auto"/>
    </w:rPr>
  </w:style>
  <w:style w:type="paragraph" w:customStyle="1" w:styleId="Pa31">
    <w:name w:val="Pa31"/>
    <w:basedOn w:val="Default"/>
    <w:next w:val="Default"/>
    <w:uiPriority w:val="99"/>
    <w:rsid w:val="00537000"/>
    <w:pPr>
      <w:adjustRightInd w:val="0"/>
      <w:spacing w:line="201" w:lineRule="atLeast"/>
    </w:pPr>
    <w:rPr>
      <w:rFonts w:ascii="Times New Roman" w:hAnsi="Times New Roman" w:cs="Times New Roman"/>
      <w:color w:val="auto"/>
    </w:rPr>
  </w:style>
  <w:style w:type="paragraph" w:styleId="Revision">
    <w:name w:val="Revision"/>
    <w:hidden/>
    <w:uiPriority w:val="99"/>
    <w:semiHidden/>
    <w:rsid w:val="00537000"/>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537000"/>
    <w:rPr>
      <w:color w:val="96607D" w:themeColor="followedHyperlink"/>
      <w:u w:val="single"/>
    </w:rPr>
  </w:style>
  <w:style w:type="character" w:customStyle="1" w:styleId="UnresolvedMention1">
    <w:name w:val="Unresolved Mention1"/>
    <w:basedOn w:val="DefaultParagraphFont"/>
    <w:uiPriority w:val="99"/>
    <w:semiHidden/>
    <w:unhideWhenUsed/>
    <w:rsid w:val="00537000"/>
    <w:rPr>
      <w:color w:val="605E5C"/>
      <w:shd w:val="clear" w:color="auto" w:fill="E1DFDD"/>
    </w:rPr>
  </w:style>
  <w:style w:type="character" w:customStyle="1" w:styleId="UnresolvedMention2">
    <w:name w:val="Unresolved Mention2"/>
    <w:basedOn w:val="DefaultParagraphFont"/>
    <w:uiPriority w:val="99"/>
    <w:semiHidden/>
    <w:unhideWhenUsed/>
    <w:rsid w:val="00537000"/>
    <w:rPr>
      <w:color w:val="605E5C"/>
      <w:shd w:val="clear" w:color="auto" w:fill="E1DFDD"/>
    </w:rPr>
  </w:style>
  <w:style w:type="character" w:customStyle="1" w:styleId="UnresolvedMention3">
    <w:name w:val="Unresolved Mention3"/>
    <w:basedOn w:val="DefaultParagraphFont"/>
    <w:uiPriority w:val="99"/>
    <w:semiHidden/>
    <w:unhideWhenUsed/>
    <w:rsid w:val="00537000"/>
    <w:rPr>
      <w:color w:val="605E5C"/>
      <w:shd w:val="clear" w:color="auto" w:fill="E1DFDD"/>
    </w:rPr>
  </w:style>
  <w:style w:type="character" w:customStyle="1" w:styleId="UnresolvedMention4">
    <w:name w:val="Unresolved Mention4"/>
    <w:basedOn w:val="DefaultParagraphFont"/>
    <w:uiPriority w:val="99"/>
    <w:semiHidden/>
    <w:unhideWhenUsed/>
    <w:rsid w:val="00537000"/>
    <w:rPr>
      <w:color w:val="605E5C"/>
      <w:shd w:val="clear" w:color="auto" w:fill="E1DFDD"/>
    </w:rPr>
  </w:style>
  <w:style w:type="character" w:styleId="UnresolvedMention">
    <w:name w:val="Unresolved Mention"/>
    <w:basedOn w:val="DefaultParagraphFont"/>
    <w:uiPriority w:val="99"/>
    <w:semiHidden/>
    <w:unhideWhenUsed/>
    <w:rsid w:val="00537000"/>
    <w:rPr>
      <w:color w:val="605E5C"/>
      <w:shd w:val="clear" w:color="auto" w:fill="E1DFDD"/>
    </w:rPr>
  </w:style>
  <w:style w:type="paragraph" w:customStyle="1" w:styleId="pf0">
    <w:name w:val="pf0"/>
    <w:basedOn w:val="Normal"/>
    <w:rsid w:val="00537000"/>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37000"/>
    <w:rPr>
      <w:rFonts w:ascii="Segoe UI" w:hAnsi="Segoe UI" w:cs="Segoe UI" w:hint="default"/>
      <w:sz w:val="18"/>
      <w:szCs w:val="18"/>
    </w:rPr>
  </w:style>
  <w:style w:type="paragraph" w:styleId="EndnoteText">
    <w:name w:val="endnote text"/>
    <w:basedOn w:val="Normal"/>
    <w:link w:val="EndnoteTextChar"/>
    <w:uiPriority w:val="99"/>
    <w:semiHidden/>
    <w:unhideWhenUsed/>
    <w:rsid w:val="00537000"/>
    <w:rPr>
      <w:szCs w:val="20"/>
    </w:rPr>
  </w:style>
  <w:style w:type="character" w:customStyle="1" w:styleId="EndnoteTextChar">
    <w:name w:val="Endnote Text Char"/>
    <w:basedOn w:val="DefaultParagraphFont"/>
    <w:link w:val="EndnoteText"/>
    <w:uiPriority w:val="99"/>
    <w:semiHidden/>
    <w:rsid w:val="00537000"/>
    <w:rPr>
      <w:rFonts w:ascii="Helvetica" w:hAnsi="Helvetica"/>
      <w:kern w:val="0"/>
      <w:sz w:val="20"/>
      <w:szCs w:val="20"/>
      <w:lang w:val="fr-LU"/>
      <w14:ligatures w14:val="none"/>
    </w:rPr>
  </w:style>
  <w:style w:type="character" w:styleId="EndnoteReference">
    <w:name w:val="endnote reference"/>
    <w:basedOn w:val="DefaultParagraphFont"/>
    <w:uiPriority w:val="99"/>
    <w:semiHidden/>
    <w:unhideWhenUsed/>
    <w:rsid w:val="00537000"/>
    <w:rPr>
      <w:vertAlign w:val="superscript"/>
    </w:rPr>
  </w:style>
  <w:style w:type="paragraph" w:customStyle="1" w:styleId="Newniveau3">
    <w:name w:val="New niveau 3"/>
    <w:basedOn w:val="Normal"/>
    <w:next w:val="Heading3"/>
    <w:link w:val="Newniveau3Char"/>
    <w:autoRedefine/>
    <w:qFormat/>
    <w:rsid w:val="00537000"/>
    <w:pPr>
      <w:numPr>
        <w:ilvl w:val="2"/>
        <w:numId w:val="1"/>
      </w:numPr>
      <w:spacing w:before="240" w:after="120" w:line="278" w:lineRule="auto"/>
      <w:ind w:left="1985" w:right="237"/>
      <w:contextualSpacing/>
      <w:outlineLvl w:val="2"/>
    </w:pPr>
    <w:rPr>
      <w:rFonts w:eastAsiaTheme="majorEastAsia" w:cstheme="majorBidi"/>
      <w:b/>
      <w:color w:val="79C300"/>
      <w:sz w:val="28"/>
      <w:szCs w:val="96"/>
      <w:lang w:val="fr-FR"/>
    </w:rPr>
  </w:style>
  <w:style w:type="character" w:customStyle="1" w:styleId="Newniveau3Char">
    <w:name w:val="New niveau 3 Char"/>
    <w:basedOn w:val="Niveau2Char"/>
    <w:link w:val="Newniveau3"/>
    <w:rsid w:val="00537000"/>
    <w:rPr>
      <w:rFonts w:ascii="Helvetica" w:eastAsiaTheme="majorEastAsia" w:hAnsi="Helvetica" w:cstheme="majorBidi"/>
      <w:b/>
      <w:color w:val="79C300"/>
      <w:kern w:val="0"/>
      <w:sz w:val="28"/>
      <w:szCs w:val="96"/>
      <w:lang w:val="fr-FR"/>
      <w14:ligatures w14:val="none"/>
    </w:rPr>
  </w:style>
  <w:style w:type="table" w:styleId="GridTable2-Accent5">
    <w:name w:val="Grid Table 2 Accent 5"/>
    <w:basedOn w:val="TableNormal"/>
    <w:uiPriority w:val="47"/>
    <w:rsid w:val="00537000"/>
    <w:pPr>
      <w:widowControl w:val="0"/>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Titrerapport">
    <w:name w:val="Titre rapport"/>
    <w:basedOn w:val="Normal"/>
    <w:link w:val="TitrerapportCar"/>
    <w:qFormat/>
    <w:rsid w:val="00537000"/>
    <w:pPr>
      <w:pBdr>
        <w:left w:val="single" w:sz="36" w:space="20" w:color="E97132" w:themeColor="accent2"/>
      </w:pBdr>
      <w:spacing w:line="278" w:lineRule="auto"/>
      <w:ind w:left="1440"/>
      <w:jc w:val="both"/>
    </w:pPr>
    <w:rPr>
      <w:rFonts w:eastAsiaTheme="minorEastAsia"/>
      <w:b/>
      <w:bCs/>
      <w:color w:val="196B24" w:themeColor="accent3"/>
      <w:sz w:val="52"/>
      <w:szCs w:val="56"/>
      <w:lang w:val="en-US"/>
    </w:rPr>
  </w:style>
  <w:style w:type="character" w:customStyle="1" w:styleId="TitrerapportCar">
    <w:name w:val="Titre rapport Car"/>
    <w:basedOn w:val="DefaultParagraphFont"/>
    <w:link w:val="Titrerapport"/>
    <w:rsid w:val="00537000"/>
    <w:rPr>
      <w:rFonts w:ascii="Helvetica" w:eastAsiaTheme="minorEastAsia" w:hAnsi="Helvetica"/>
      <w:b/>
      <w:bCs/>
      <w:color w:val="196B24" w:themeColor="accent3"/>
      <w:kern w:val="0"/>
      <w:sz w:val="52"/>
      <w:szCs w:val="56"/>
      <w14:ligatures w14:val="none"/>
    </w:rPr>
  </w:style>
  <w:style w:type="paragraph" w:customStyle="1" w:styleId="Bistitre1">
    <w:name w:val="Bis titre 1"/>
    <w:basedOn w:val="Normal"/>
    <w:qFormat/>
    <w:rsid w:val="00537000"/>
    <w:pPr>
      <w:keepNext/>
      <w:keepLines/>
      <w:spacing w:after="240" w:line="278" w:lineRule="auto"/>
      <w:jc w:val="both"/>
      <w:outlineLvl w:val="0"/>
    </w:pPr>
    <w:rPr>
      <w:rFonts w:eastAsiaTheme="majorEastAsia" w:cstheme="majorBidi"/>
      <w:b/>
      <w:color w:val="005E60"/>
      <w:sz w:val="40"/>
      <w:szCs w:val="44"/>
      <w:lang w:val="fr-FR"/>
    </w:rPr>
  </w:style>
  <w:style w:type="paragraph" w:styleId="TOC4">
    <w:name w:val="toc 4"/>
    <w:basedOn w:val="Normal"/>
    <w:next w:val="Normal"/>
    <w:autoRedefine/>
    <w:uiPriority w:val="39"/>
    <w:unhideWhenUsed/>
    <w:rsid w:val="00537000"/>
    <w:pPr>
      <w:spacing w:after="100" w:line="278" w:lineRule="auto"/>
      <w:ind w:left="720"/>
    </w:pPr>
    <w:rPr>
      <w:rFonts w:asciiTheme="minorHAnsi" w:eastAsiaTheme="minorEastAsia" w:hAnsiTheme="minorHAnsi"/>
      <w:kern w:val="2"/>
      <w:sz w:val="24"/>
      <w:szCs w:val="24"/>
      <w:lang w:val="fr-FR" w:eastAsia="fr-FR"/>
      <w14:ligatures w14:val="standardContextual"/>
    </w:rPr>
  </w:style>
  <w:style w:type="paragraph" w:styleId="TOC5">
    <w:name w:val="toc 5"/>
    <w:basedOn w:val="Normal"/>
    <w:next w:val="Normal"/>
    <w:autoRedefine/>
    <w:uiPriority w:val="39"/>
    <w:unhideWhenUsed/>
    <w:rsid w:val="00537000"/>
    <w:pPr>
      <w:spacing w:after="100" w:line="278" w:lineRule="auto"/>
      <w:ind w:left="960"/>
    </w:pPr>
    <w:rPr>
      <w:rFonts w:asciiTheme="minorHAnsi" w:eastAsiaTheme="minorEastAsia" w:hAnsiTheme="minorHAnsi"/>
      <w:kern w:val="2"/>
      <w:sz w:val="24"/>
      <w:szCs w:val="24"/>
      <w:lang w:val="fr-FR" w:eastAsia="fr-FR"/>
      <w14:ligatures w14:val="standardContextual"/>
    </w:rPr>
  </w:style>
  <w:style w:type="paragraph" w:styleId="TOC6">
    <w:name w:val="toc 6"/>
    <w:basedOn w:val="Normal"/>
    <w:next w:val="Normal"/>
    <w:autoRedefine/>
    <w:uiPriority w:val="39"/>
    <w:unhideWhenUsed/>
    <w:rsid w:val="00537000"/>
    <w:pPr>
      <w:spacing w:after="100" w:line="278" w:lineRule="auto"/>
      <w:ind w:left="1200"/>
    </w:pPr>
    <w:rPr>
      <w:rFonts w:asciiTheme="minorHAnsi" w:eastAsiaTheme="minorEastAsia" w:hAnsiTheme="minorHAnsi"/>
      <w:kern w:val="2"/>
      <w:sz w:val="24"/>
      <w:szCs w:val="24"/>
      <w:lang w:val="fr-FR" w:eastAsia="fr-FR"/>
      <w14:ligatures w14:val="standardContextual"/>
    </w:rPr>
  </w:style>
  <w:style w:type="paragraph" w:styleId="TOC7">
    <w:name w:val="toc 7"/>
    <w:basedOn w:val="Normal"/>
    <w:next w:val="Normal"/>
    <w:autoRedefine/>
    <w:uiPriority w:val="39"/>
    <w:unhideWhenUsed/>
    <w:rsid w:val="00537000"/>
    <w:pPr>
      <w:spacing w:after="100" w:line="278" w:lineRule="auto"/>
      <w:ind w:left="1440"/>
    </w:pPr>
    <w:rPr>
      <w:rFonts w:asciiTheme="minorHAnsi" w:eastAsiaTheme="minorEastAsia" w:hAnsiTheme="minorHAnsi"/>
      <w:kern w:val="2"/>
      <w:sz w:val="24"/>
      <w:szCs w:val="24"/>
      <w:lang w:val="fr-FR" w:eastAsia="fr-FR"/>
      <w14:ligatures w14:val="standardContextual"/>
    </w:rPr>
  </w:style>
  <w:style w:type="paragraph" w:styleId="TOC8">
    <w:name w:val="toc 8"/>
    <w:basedOn w:val="Normal"/>
    <w:next w:val="Normal"/>
    <w:autoRedefine/>
    <w:uiPriority w:val="39"/>
    <w:unhideWhenUsed/>
    <w:rsid w:val="00537000"/>
    <w:pPr>
      <w:spacing w:after="100" w:line="278" w:lineRule="auto"/>
      <w:ind w:left="1680"/>
    </w:pPr>
    <w:rPr>
      <w:rFonts w:asciiTheme="minorHAnsi" w:eastAsiaTheme="minorEastAsia" w:hAnsiTheme="minorHAnsi"/>
      <w:kern w:val="2"/>
      <w:sz w:val="24"/>
      <w:szCs w:val="24"/>
      <w:lang w:val="fr-FR" w:eastAsia="fr-FR"/>
      <w14:ligatures w14:val="standardContextual"/>
    </w:rPr>
  </w:style>
  <w:style w:type="paragraph" w:styleId="TOC9">
    <w:name w:val="toc 9"/>
    <w:basedOn w:val="Normal"/>
    <w:next w:val="Normal"/>
    <w:autoRedefine/>
    <w:uiPriority w:val="39"/>
    <w:unhideWhenUsed/>
    <w:rsid w:val="00537000"/>
    <w:pPr>
      <w:spacing w:after="100" w:line="278" w:lineRule="auto"/>
      <w:ind w:left="1920"/>
    </w:pPr>
    <w:rPr>
      <w:rFonts w:asciiTheme="minorHAnsi" w:eastAsiaTheme="minorEastAsia" w:hAnsiTheme="minorHAnsi"/>
      <w:kern w:val="2"/>
      <w:sz w:val="24"/>
      <w:szCs w:val="24"/>
      <w:lang w:val="fr-FR" w:eastAsia="fr-FR"/>
      <w14:ligatures w14:val="standardContextual"/>
    </w:rPr>
  </w:style>
  <w:style w:type="character" w:styleId="SubtleReference">
    <w:name w:val="Subtle Reference"/>
    <w:aliases w:val="Sources"/>
    <w:uiPriority w:val="31"/>
    <w:qFormat/>
    <w:rsid w:val="00537000"/>
    <w:rPr>
      <w:i/>
      <w:color w:val="2C7FCE" w:themeColor="text2" w:themeTint="99"/>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94/evidence/39.bed-occupancy-pdf-172397464704" TargetMode="External"/><Relationship Id="rId3" Type="http://schemas.openxmlformats.org/officeDocument/2006/relationships/settings" Target="settings.xml"/><Relationship Id="rId7" Type="http://schemas.openxmlformats.org/officeDocument/2006/relationships/hyperlink" Target="https://cns.public.lu/dam-assets/legislations/convention/convention-cns-fhl-version-coordonne-au-0102202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ns.public.lu/dam-assets/legislations/convention/convention-cns-fhl-version-coordonne-au-01022026.pdf" TargetMode="External"/><Relationship Id="rId4" Type="http://schemas.openxmlformats.org/officeDocument/2006/relationships/webSettings" Target="webSettings.xml"/><Relationship Id="rId9" Type="http://schemas.openxmlformats.org/officeDocument/2006/relationships/hyperlink" Target="https://cns.public.lu/dam-assets/legislations/convention/convention-cns-fhl-version-coordonne-au-01022026.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lux.public.lu/eli/etat/leg/loi/2025/12/19/a621/jo" TargetMode="External"/><Relationship Id="rId1" Type="http://schemas.openxmlformats.org/officeDocument/2006/relationships/hyperlink" Target="https://legilux.public.lu/eli/etat/leg/loi/2023/07/29/a478/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6405</Words>
  <Characters>36509</Characters>
  <Application>Microsoft Office Word</Application>
  <DocSecurity>0</DocSecurity>
  <Lines>304</Lines>
  <Paragraphs>85</Paragraphs>
  <ScaleCrop>false</ScaleCrop>
  <Company>CTIE</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Nilles</dc:creator>
  <cp:keywords/>
  <dc:description/>
  <cp:lastModifiedBy>Sarah Nilles</cp:lastModifiedBy>
  <cp:revision>1</cp:revision>
  <dcterms:created xsi:type="dcterms:W3CDTF">2026-06-19T09:22:00Z</dcterms:created>
  <dcterms:modified xsi:type="dcterms:W3CDTF">2026-06-19T09:24:00Z</dcterms:modified>
</cp:coreProperties>
</file>